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704850</wp:posOffset>
            </wp:positionH>
            <wp:positionV relativeFrom="page">
              <wp:posOffset>8553450</wp:posOffset>
            </wp:positionV>
            <wp:extent cx="368300" cy="3556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68300" cy="3556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1168400</wp:posOffset>
            </wp:positionH>
            <wp:positionV relativeFrom="page">
              <wp:posOffset>8629650</wp:posOffset>
            </wp:positionV>
            <wp:extent cx="158750" cy="2095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58750" cy="2095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1346200</wp:posOffset>
            </wp:positionH>
            <wp:positionV relativeFrom="page">
              <wp:posOffset>8636000</wp:posOffset>
            </wp:positionV>
            <wp:extent cx="31750" cy="2032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2032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1403350</wp:posOffset>
            </wp:positionH>
            <wp:positionV relativeFrom="page">
              <wp:posOffset>8680450</wp:posOffset>
            </wp:positionV>
            <wp:extent cx="95250" cy="1587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95250" cy="1587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1511300</wp:posOffset>
            </wp:positionH>
            <wp:positionV relativeFrom="page">
              <wp:posOffset>8680450</wp:posOffset>
            </wp:positionV>
            <wp:extent cx="114300" cy="1587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1587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1638300</wp:posOffset>
            </wp:positionH>
            <wp:positionV relativeFrom="page">
              <wp:posOffset>8680450</wp:posOffset>
            </wp:positionV>
            <wp:extent cx="133350" cy="1587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33350" cy="1587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1778000</wp:posOffset>
            </wp:positionH>
            <wp:positionV relativeFrom="page">
              <wp:posOffset>8686800</wp:posOffset>
            </wp:positionV>
            <wp:extent cx="133350" cy="1524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33350" cy="1524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1911350</wp:posOffset>
            </wp:positionH>
            <wp:positionV relativeFrom="page">
              <wp:posOffset>8680450</wp:posOffset>
            </wp:positionV>
            <wp:extent cx="127000" cy="1587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587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2063750</wp:posOffset>
            </wp:positionH>
            <wp:positionV relativeFrom="page">
              <wp:posOffset>8680450</wp:posOffset>
            </wp:positionV>
            <wp:extent cx="69850" cy="1587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9850" cy="1587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6477000</wp:posOffset>
            </wp:positionH>
            <wp:positionV relativeFrom="page">
              <wp:posOffset>1441450</wp:posOffset>
            </wp:positionV>
            <wp:extent cx="361950" cy="3619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61950" cy="3619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6451600</wp:posOffset>
            </wp:positionH>
            <wp:positionV relativeFrom="page">
              <wp:posOffset>1409700</wp:posOffset>
            </wp:positionV>
            <wp:extent cx="419100" cy="4254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19100" cy="4254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6616700</wp:posOffset>
            </wp:positionH>
            <wp:positionV relativeFrom="page">
              <wp:posOffset>1473200</wp:posOffset>
            </wp:positionV>
            <wp:extent cx="88900" cy="1270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88900" cy="1270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6616700</wp:posOffset>
            </wp:positionH>
            <wp:positionV relativeFrom="page">
              <wp:posOffset>1473200</wp:posOffset>
            </wp:positionV>
            <wp:extent cx="88900" cy="1270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88900" cy="1270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6565900</wp:posOffset>
            </wp:positionH>
            <wp:positionV relativeFrom="page">
              <wp:posOffset>1454150</wp:posOffset>
            </wp:positionV>
            <wp:extent cx="190500" cy="1968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68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6553200</wp:posOffset>
            </wp:positionH>
            <wp:positionV relativeFrom="page">
              <wp:posOffset>1511300</wp:posOffset>
            </wp:positionV>
            <wp:extent cx="184150" cy="1460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84150" cy="1460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6534150</wp:posOffset>
            </wp:positionH>
            <wp:positionV relativeFrom="page">
              <wp:posOffset>1663700</wp:posOffset>
            </wp:positionV>
            <wp:extent cx="38100" cy="508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38100" cy="508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6572250</wp:posOffset>
            </wp:positionH>
            <wp:positionV relativeFrom="page">
              <wp:posOffset>1663700</wp:posOffset>
            </wp:positionV>
            <wp:extent cx="31750" cy="508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508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6604000</wp:posOffset>
            </wp:positionH>
            <wp:positionV relativeFrom="page">
              <wp:posOffset>1676400</wp:posOffset>
            </wp:positionV>
            <wp:extent cx="31750" cy="38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38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6635750</wp:posOffset>
            </wp:positionH>
            <wp:positionV relativeFrom="page">
              <wp:posOffset>1676400</wp:posOffset>
            </wp:positionV>
            <wp:extent cx="31750" cy="38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38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6667500</wp:posOffset>
            </wp:positionH>
            <wp:positionV relativeFrom="page">
              <wp:posOffset>1663700</wp:posOffset>
            </wp:positionV>
            <wp:extent cx="31750" cy="508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508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6711950</wp:posOffset>
            </wp:positionH>
            <wp:positionV relativeFrom="page">
              <wp:posOffset>1663700</wp:posOffset>
            </wp:positionV>
            <wp:extent cx="19050" cy="508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19050" cy="508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6731000</wp:posOffset>
            </wp:positionH>
            <wp:positionV relativeFrom="page">
              <wp:posOffset>1676400</wp:posOffset>
            </wp:positionV>
            <wp:extent cx="31750" cy="38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38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6762750</wp:posOffset>
            </wp:positionH>
            <wp:positionV relativeFrom="page">
              <wp:posOffset>1676400</wp:posOffset>
            </wp:positionV>
            <wp:extent cx="25400" cy="38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5400" cy="38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6553200</wp:posOffset>
            </wp:positionH>
            <wp:positionV relativeFrom="page">
              <wp:posOffset>1727200</wp:posOffset>
            </wp:positionV>
            <wp:extent cx="31750" cy="38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38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6584950</wp:posOffset>
            </wp:positionH>
            <wp:positionV relativeFrom="page">
              <wp:posOffset>1727200</wp:posOffset>
            </wp:positionV>
            <wp:extent cx="38100" cy="444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38100" cy="444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6616700</wp:posOffset>
            </wp:positionH>
            <wp:positionV relativeFrom="page">
              <wp:posOffset>1720850</wp:posOffset>
            </wp:positionV>
            <wp:extent cx="38100" cy="444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38100" cy="444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6654800</wp:posOffset>
            </wp:positionH>
            <wp:positionV relativeFrom="page">
              <wp:posOffset>1727200</wp:posOffset>
            </wp:positionV>
            <wp:extent cx="31750" cy="38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38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6680200</wp:posOffset>
            </wp:positionH>
            <wp:positionV relativeFrom="page">
              <wp:posOffset>1720850</wp:posOffset>
            </wp:positionV>
            <wp:extent cx="25400" cy="444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25400" cy="444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6699250</wp:posOffset>
            </wp:positionH>
            <wp:positionV relativeFrom="page">
              <wp:posOffset>1727200</wp:posOffset>
            </wp:positionV>
            <wp:extent cx="38100" cy="38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38100" cy="38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6731000</wp:posOffset>
            </wp:positionH>
            <wp:positionV relativeFrom="page">
              <wp:posOffset>1727200</wp:posOffset>
            </wp:positionV>
            <wp:extent cx="31750" cy="381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31750" cy="381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723900</wp:posOffset>
            </wp:positionH>
            <wp:positionV relativeFrom="page">
              <wp:posOffset>1149350</wp:posOffset>
            </wp:positionV>
            <wp:extent cx="6115050" cy="2095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6115050" cy="2095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673100</wp:posOffset>
            </wp:positionH>
            <wp:positionV relativeFrom="page">
              <wp:posOffset>1098550</wp:posOffset>
            </wp:positionV>
            <wp:extent cx="6216650" cy="3111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6216650" cy="3111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1701800</wp:posOffset>
            </wp:positionH>
            <wp:positionV relativeFrom="page">
              <wp:posOffset>2673350</wp:posOffset>
            </wp:positionV>
            <wp:extent cx="114300" cy="1143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1143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1732280</wp:posOffset>
            </wp:positionH>
            <wp:positionV relativeFrom="page">
              <wp:posOffset>2710180</wp:posOffset>
            </wp:positionV>
            <wp:extent cx="6350" cy="4698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6350" cy="4698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1746250</wp:posOffset>
            </wp:positionH>
            <wp:positionV relativeFrom="page">
              <wp:posOffset>2705100</wp:posOffset>
            </wp:positionV>
            <wp:extent cx="50800" cy="571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0800" cy="571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1" locked="0" layoutInCell="1" allowOverlap="1">
            <wp:simplePos x="0" y="0"/>
            <wp:positionH relativeFrom="page">
              <wp:posOffset>1727200</wp:posOffset>
            </wp:positionH>
            <wp:positionV relativeFrom="page">
              <wp:posOffset>2692400</wp:posOffset>
            </wp:positionV>
            <wp:extent cx="19050" cy="127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19050" cy="1270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723900</wp:posOffset>
            </wp:positionH>
            <wp:positionV relativeFrom="page">
              <wp:posOffset>3115310</wp:posOffset>
            </wp:positionV>
            <wp:extent cx="135890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135890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2235200</wp:posOffset>
            </wp:positionH>
            <wp:positionV relativeFrom="page">
              <wp:posOffset>3086100</wp:posOffset>
            </wp:positionV>
            <wp:extent cx="4629150" cy="43116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4629150" cy="431165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12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620" w:type="dxa"/>
        <w:gridCol w:w="3240" w:type="dxa"/>
        <w:gridCol w:w="4660" w:type="dxa"/>
      </w:tblGrid>
      <w:tr>
        <w:trPr>
          <w:trHeight w:hRule="exact" w:val="188"/>
        </w:trPr>
        <w:tc>
          <w:tcPr>
            <w:tcW w:type="dxa" w:w="26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50" w:lineRule="exact" w:before="14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Shayo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et al. Discover Chemistry</w:t>
            </w:r>
          </w:p>
        </w:tc>
        <w:tc>
          <w:tcPr>
            <w:tcW w:type="dxa" w:w="32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2" w:lineRule="exact" w:before="16" w:after="0"/>
              <w:ind w:left="19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3:378</w:t>
            </w:r>
          </w:p>
        </w:tc>
        <w:tc>
          <w:tcPr>
            <w:tcW w:type="dxa" w:w="4660"/>
            <w:vMerge w:val="restart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30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25"/>
              </w:rPr>
              <w:t>Discover Chemistry</w:t>
            </w:r>
          </w:p>
        </w:tc>
      </w:tr>
      <w:tr>
        <w:trPr>
          <w:trHeight w:hRule="exact" w:val="234"/>
        </w:trPr>
        <w:tc>
          <w:tcPr>
            <w:tcW w:type="dxa" w:w="5860"/>
            <w:gridSpan w:val="2"/>
            <w:tcBorders/>
            <w:tcMar>
              <w:left w:w="0" w:type="dxa"/>
              <w:right w:w="0" w:type="dxa"/>
            </w:tcMar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26" w:after="0"/>
              <w:ind w:left="454" w:right="0" w:firstLine="0"/>
              <w:jc w:val="left"/>
            </w:pPr>
            <w:hyperlink r:id="rId9" w:history="1">
              <w:r>
                <w:rPr>
                  <w:rStyle w:val="Hyperlink"/>
                  <w:rFonts w:ascii="MyriadPro" w:hAnsi="MyriadPro" w:eastAsia="MyriadPro" w:cs="MyriadPro"/>
                  <w:sz w:val="16.0"/>
                  <w:color w:val="000000"/>
                  <w:spacing w:val="-10"/>
                </w:rPr>
                <w:t>https://doi.org/10.1007/s44371-026-00821-3</w:t>
              </w:r>
            </w:hyperlink>
          </w:p>
        </w:tc>
        <w:tc>
          <w:tcPr>
            <w:tcW w:type="dxa" w:w="3809"/>
            <w:vMerge/>
            <w:tcBorders/>
            <w:tcMar>
              <w:left w:w="0" w:type="dxa"/>
              <w:right w:w="0" w:type="dxa"/>
            </w:tcMar>
          </w:tcPr>
          <w:p/>
        </w:tc>
      </w:tr>
    </w:tbl>
    <w:p>
      <w:pPr>
        <w:autoSpaceDN w:val="0"/>
        <w:tabs>
          <w:tab w:pos="9026" w:val="left"/>
        </w:tabs>
        <w:autoSpaceDE w:val="0"/>
        <w:widowControl/>
        <w:spacing w:line="228" w:lineRule="exact" w:before="712" w:after="0"/>
        <w:ind w:left="976" w:right="0" w:firstLine="0"/>
        <w:jc w:val="left"/>
      </w:pPr>
      <w:r>
        <w:rPr>
          <w:spacing w:val="-10"/>
          <w:rFonts w:ascii="MyriadPro" w:hAnsi="MyriadPro" w:eastAsia="MyriadPro"/>
          <w:b/>
          <w:color w:val="FFFFFF"/>
          <w:sz w:val="26"/>
        </w:rPr>
        <w:t xml:space="preserve">RESEARCH </w:t>
      </w:r>
      <w:r>
        <w:tab/>
      </w:r>
      <w:r>
        <w:rPr>
          <w:spacing w:val="-10"/>
          <w:rFonts w:ascii="MyriadPro" w:hAnsi="MyriadPro" w:eastAsia="MyriadPro"/>
          <w:b/>
          <w:color w:val="FFFFFF"/>
          <w:sz w:val="26"/>
        </w:rPr>
        <w:t>Open Access</w:t>
      </w:r>
    </w:p>
    <w:p>
      <w:pPr>
        <w:autoSpaceDN w:val="0"/>
        <w:autoSpaceDE w:val="0"/>
        <w:widowControl/>
        <w:spacing w:line="578" w:lineRule="exact" w:before="312" w:after="0"/>
        <w:ind w:left="894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47"/>
        </w:rPr>
        <w:t>Phytochemical profiling, fatty acids</w:t>
      </w:r>
    </w:p>
    <w:p>
      <w:pPr>
        <w:autoSpaceDN w:val="0"/>
        <w:autoSpaceDE w:val="0"/>
        <w:widowControl/>
        <w:spacing w:line="506" w:lineRule="exact" w:before="0" w:after="0"/>
        <w:ind w:left="894" w:right="1440" w:firstLine="0"/>
        <w:jc w:val="left"/>
      </w:pPr>
      <w:r>
        <w:rPr>
          <w:spacing w:val="-10"/>
          <w:rFonts w:ascii="MyriadPro" w:hAnsi="MyriadPro" w:eastAsia="MyriadPro"/>
          <w:color w:val="000000"/>
          <w:sz w:val="47"/>
        </w:rPr>
        <w:t xml:space="preserve">composition and antioxidant potential of oyster </w:t>
      </w:r>
      <w:r>
        <w:br/>
      </w:r>
      <w:r>
        <w:rPr>
          <w:spacing w:val="-10"/>
          <w:rFonts w:ascii="MyriadPro" w:hAnsi="MyriadPro" w:eastAsia="MyriadPro"/>
          <w:color w:val="000000"/>
          <w:sz w:val="47"/>
        </w:rPr>
        <w:t>nut (</w:t>
      </w:r>
      <w:r>
        <w:rPr>
          <w:spacing w:val="-10"/>
          <w:rFonts w:ascii="MyriadPro" w:hAnsi="MyriadPro" w:eastAsia="MyriadPro"/>
          <w:i/>
          <w:color w:val="000000"/>
          <w:sz w:val="47"/>
        </w:rPr>
        <w:t>Telf</w:t>
      </w:r>
      <w:hyperlink r:id="rId10" w:history="1">
        <w:r>
          <w:rPr>
            <w:rStyle w:val="Hyperlink"/>
            <w:rFonts w:ascii="MyriadPro" w:hAnsi="MyriadPro" w:eastAsia="MyriadPro" w:cs="MyriadPro"/>
            <w:sz w:val="46.784610748291016"/>
            <w:i/>
            <w:color w:val="000000"/>
            <w:spacing w:val="-10"/>
          </w:rPr>
          <w:t>a</w:t>
        </w:r>
      </w:hyperlink>
      <w:r>
        <w:rPr>
          <w:spacing w:val="-10"/>
          <w:rFonts w:ascii="MyriadPro" w:hAnsi="MyriadPro" w:eastAsia="MyriadPro"/>
          <w:i/>
          <w:color w:val="000000"/>
          <w:sz w:val="47"/>
        </w:rPr>
        <w:t>iria pedata)</w:t>
      </w:r>
      <w:r>
        <w:rPr>
          <w:spacing w:val="-10"/>
          <w:rFonts w:ascii="MyriadPro" w:hAnsi="MyriadPro" w:eastAsia="MyriadPro"/>
          <w:color w:val="000000"/>
          <w:sz w:val="47"/>
        </w:rPr>
        <w:t xml:space="preserve"> oil</w:t>
      </w:r>
    </w:p>
    <w:p>
      <w:pPr>
        <w:autoSpaceDN w:val="0"/>
        <w:tabs>
          <w:tab w:pos="2620" w:val="left"/>
        </w:tabs>
        <w:autoSpaceDE w:val="0"/>
        <w:widowControl/>
        <w:spacing w:line="242" w:lineRule="exact" w:before="192" w:after="464"/>
        <w:ind w:left="894" w:right="0" w:firstLine="0"/>
        <w:jc w:val="left"/>
      </w:pPr>
      <w:r>
        <w:rPr>
          <w:spacing w:val="-10"/>
          <w:w w:val="102.10927327473958"/>
          <w:rFonts w:ascii="MyriadPro" w:hAnsi="MyriadPro" w:eastAsia="MyriadPro"/>
          <w:color w:val="000000"/>
          <w:sz w:val="21"/>
        </w:rPr>
        <w:t>Philipina F. Shayo</w:t>
      </w:r>
      <w:r>
        <w:rPr>
          <w:spacing w:val="-10"/>
          <w:rFonts w:ascii="MyriadPro" w:hAnsi="MyriadPro" w:eastAsia="MyriadPro"/>
          <w:color w:val="000000"/>
          <w:sz w:val="15"/>
        </w:rPr>
        <w:t>1</w:t>
      </w:r>
      <w:hyperlink r:id="rId10" w:history="1">
        <w:r>
          <w:rPr>
            <w:rStyle w:val="Hyperlink"/>
            <w:rFonts w:ascii="MyriadPro" w:hAnsi="MyriadPro" w:eastAsia="MyriadPro" w:cs="MyriadPro"/>
            <w:sz w:val="15.010063171386719"/>
            <w:color w:val="000000"/>
            <w:spacing w:val="-10"/>
          </w:rPr>
          <w:t xml:space="preserve">* </w:t>
        </w:r>
      </w:hyperlink>
      <w:r>
        <w:tab/>
      </w:r>
      <w:hyperlink r:id="rId10" w:history="1">
        <w:r>
          <w:rPr>
            <w:rStyle w:val="Hyperlink"/>
            <w:rFonts w:ascii="MyriadPro" w:hAnsi="MyriadPro" w:eastAsia="MyriadPro" w:cs="MyriadPro"/>
            <w:sz w:val="21.442947387695312"/>
            <w:color w:val="000000"/>
            <w:w w:val="102.10927327473958"/>
            <w:spacing w:val="-10"/>
          </w:rPr>
          <w:t>,</w:t>
        </w:r>
      </w:hyperlink>
      <w:r>
        <w:rPr>
          <w:spacing w:val="-10"/>
          <w:w w:val="102.10927327473958"/>
          <w:rFonts w:ascii="MyriadPro" w:hAnsi="MyriadPro" w:eastAsia="MyriadPro"/>
          <w:color w:val="000000"/>
          <w:sz w:val="21"/>
        </w:rPr>
        <w:t xml:space="preserve"> Mussa B. Mbegeze</w:t>
      </w:r>
      <w:r>
        <w:rPr>
          <w:spacing w:val="-10"/>
          <w:rFonts w:ascii="MyriadPro" w:hAnsi="MyriadPro" w:eastAsia="MyriadPro"/>
          <w:color w:val="000000"/>
          <w:sz w:val="15"/>
        </w:rPr>
        <w:t>2</w:t>
      </w:r>
      <w:r>
        <w:rPr>
          <w:spacing w:val="-10"/>
          <w:w w:val="102.10927327473958"/>
          <w:rFonts w:ascii="MyriadPro" w:hAnsi="MyriadPro" w:eastAsia="MyriadPro"/>
          <w:color w:val="000000"/>
          <w:sz w:val="21"/>
        </w:rPr>
        <w:t>and Khamis N. Ally</w:t>
      </w:r>
      <w:r>
        <w:rPr>
          <w:spacing w:val="-10"/>
          <w:rFonts w:ascii="MyriadPro" w:hAnsi="MyriadPro" w:eastAsia="MyriadPro"/>
          <w:color w:val="000000"/>
          <w:sz w:val="15"/>
        </w:rPr>
        <w:t>3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520" w:type="dxa"/>
        <w:gridCol w:w="7800" w:type="dxa"/>
      </w:tblGrid>
      <w:tr>
        <w:trPr>
          <w:trHeight w:hRule="exact" w:val="570"/>
        </w:trPr>
        <w:tc>
          <w:tcPr>
            <w:tcW w:type="dxa" w:w="25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14" w:after="0"/>
              <w:ind w:left="460" w:right="432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 xml:space="preserve">*Correspondence: </w:t>
            </w:r>
            <w:r>
              <w:br/>
            </w:r>
            <w:hyperlink r:id="rId11" w:history="1">
              <w:r>
                <w:rPr>
                  <w:rStyle w:val="Hyperlink"/>
                  <w:rFonts w:ascii="MyriadPro" w:hAnsi="MyriadPro" w:eastAsia="MyriadPro" w:cs="MyriadPro"/>
                  <w:sz w:val="15.0"/>
                  <w:color w:val="000000"/>
                  <w:spacing w:val="-10"/>
                </w:rPr>
                <w:t xml:space="preserve">Philipina F. Shayo </w:t>
              </w:r>
            </w:hyperlink>
            <w:r>
              <w:br/>
            </w:r>
            <w:hyperlink r:id="rId11" w:history="1">
              <w:r>
                <w:rPr>
                  <w:rStyle w:val="Hyperlink"/>
                  <w:rFonts w:ascii="MyriadPro" w:hAnsi="MyriadPro" w:eastAsia="MyriadPro" w:cs="MyriadPro"/>
                  <w:sz w:val="15.0"/>
                  <w:color w:val="000000"/>
                  <w:spacing w:val="-10"/>
                </w:rPr>
                <w:t>philipina.shayo@must.ac.tz</w:t>
              </w:r>
            </w:hyperlink>
          </w:p>
        </w:tc>
        <w:tc>
          <w:tcPr>
            <w:tcW w:type="dxa" w:w="78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132" w:after="0"/>
              <w:ind w:left="494" w:right="0" w:firstLine="0"/>
              <w:jc w:val="left"/>
            </w:pPr>
            <w:r>
              <w:rPr>
                <w:spacing w:val="-10"/>
                <w:w w:val="98.0952399117606"/>
                <w:rFonts w:ascii="MyriadPro" w:hAnsi="MyriadPro" w:eastAsia="MyriadPro"/>
                <w:b/>
                <w:color w:val="000000"/>
                <w:sz w:val="21"/>
              </w:rPr>
              <w:t>Abstract</w:t>
            </w:r>
          </w:p>
          <w:p>
            <w:pPr>
              <w:autoSpaceDN w:val="0"/>
              <w:autoSpaceDE w:val="0"/>
              <w:widowControl/>
              <w:spacing w:line="188" w:lineRule="exact" w:before="94" w:after="0"/>
              <w:ind w:left="49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20"/>
              </w:rPr>
              <w:t>Oyster nut (Telfairia pedata (Sims) Hook) is a nutrient-dense nut widely consumed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00" w:type="dxa"/>
        <w:gridCol w:w="7720" w:type="dxa"/>
      </w:tblGrid>
      <w:tr>
        <w:trPr>
          <w:trHeight w:hRule="exact" w:val="724"/>
        </w:trPr>
        <w:tc>
          <w:tcPr>
            <w:tcW w:type="dxa" w:w="27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76" w:lineRule="exact" w:before="0" w:after="0"/>
              <w:ind w:left="460" w:right="288" w:firstLine="0"/>
              <w:jc w:val="left"/>
            </w:pPr>
            <w:r>
              <w:rPr>
                <w:spacing w:val="-10"/>
                <w:w w:val="105.0"/>
                <w:rFonts w:ascii="MyriadPro" w:hAnsi="MyriadPro" w:eastAsia="MyriadPro"/>
                <w:color w:val="000000"/>
                <w:sz w:val="10"/>
              </w:rPr>
              <w:t>1</w:t>
            </w: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 xml:space="preserve">Department of Earth Sciences, </w:t>
            </w:r>
            <w:r>
              <w:br/>
            </w: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 xml:space="preserve">Mbeya University of Science and </w:t>
            </w:r>
            <w:r>
              <w:br/>
            </w: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>Technology, P.O. Box 131, Mbeya,</w:t>
            </w:r>
          </w:p>
          <w:p>
            <w:pPr>
              <w:autoSpaceDN w:val="0"/>
              <w:autoSpaceDE w:val="0"/>
              <w:widowControl/>
              <w:spacing w:line="102" w:lineRule="exact" w:before="46" w:after="0"/>
              <w:ind w:left="460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>Tanzania</w:t>
            </w:r>
          </w:p>
        </w:tc>
        <w:tc>
          <w:tcPr>
            <w:tcW w:type="dxa" w:w="7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8" w:lineRule="exact" w:before="44" w:after="0"/>
              <w:ind w:left="31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20"/>
              </w:rPr>
              <w:t>in East Africa, particularly among lactating mothers, due to its reported lactogenic</w:t>
            </w:r>
          </w:p>
          <w:p>
            <w:pPr>
              <w:autoSpaceDN w:val="0"/>
              <w:autoSpaceDE w:val="0"/>
              <w:widowControl/>
              <w:spacing w:line="240" w:lineRule="exact" w:before="6" w:after="0"/>
              <w:ind w:left="314" w:right="432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20"/>
              </w:rPr>
              <w:t xml:space="preserve">properties. Its nutritional and phytochemical composition is influenced by ecological </w:t>
            </w:r>
            <w:r>
              <w:br/>
            </w:r>
            <w:r>
              <w:rPr>
                <w:spacing w:val="-10"/>
                <w:rFonts w:ascii="MyriadPro" w:hAnsi="MyriadPro" w:eastAsia="MyriadPro"/>
                <w:color w:val="000000"/>
                <w:sz w:val="20"/>
              </w:rPr>
              <w:t>conditions, which may affect its ethnopharmacological potential. This study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00" w:type="dxa"/>
        <w:gridCol w:w="7700" w:type="dxa"/>
      </w:tblGrid>
      <w:tr>
        <w:trPr>
          <w:trHeight w:hRule="exact" w:val="736"/>
        </w:trPr>
        <w:tc>
          <w:tcPr>
            <w:tcW w:type="dxa" w:w="27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0" w:after="0"/>
              <w:ind w:left="460" w:right="288" w:firstLine="0"/>
              <w:jc w:val="both"/>
            </w:pPr>
            <w:r>
              <w:rPr>
                <w:spacing w:val="-10"/>
                <w:w w:val="105.0"/>
                <w:rFonts w:ascii="MyriadPro" w:hAnsi="MyriadPro" w:eastAsia="MyriadPro"/>
                <w:color w:val="000000"/>
                <w:sz w:val="10"/>
              </w:rPr>
              <w:t>2</w:t>
            </w: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 xml:space="preserve">Department of Natural Science, </w:t>
            </w:r>
            <w:r>
              <w:br/>
            </w: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 xml:space="preserve">Mbeya University of Science and </w:t>
            </w:r>
            <w:r>
              <w:br/>
            </w: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>Technology, P.O. Box 131, Mbeya,</w:t>
            </w:r>
          </w:p>
          <w:p>
            <w:pPr>
              <w:autoSpaceDN w:val="0"/>
              <w:autoSpaceDE w:val="0"/>
              <w:widowControl/>
              <w:spacing w:line="102" w:lineRule="exact" w:before="46" w:after="0"/>
              <w:ind w:left="460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>Tanzania</w:t>
            </w:r>
          </w:p>
        </w:tc>
        <w:tc>
          <w:tcPr>
            <w:tcW w:type="dxa" w:w="77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28" w:lineRule="exact" w:before="26" w:after="0"/>
              <w:ind w:left="31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20"/>
              </w:rPr>
              <w:t>evaluated the phytochemical profile, fatty acid composition, and antioxidant activity</w:t>
            </w:r>
          </w:p>
          <w:p>
            <w:pPr>
              <w:autoSpaceDN w:val="0"/>
              <w:autoSpaceDE w:val="0"/>
              <w:widowControl/>
              <w:spacing w:line="236" w:lineRule="exact" w:before="0" w:after="0"/>
              <w:ind w:left="314" w:right="576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20"/>
              </w:rPr>
              <w:t xml:space="preserve">of Oyster nut oil obtained from Njombe, Tanzania. Gas chromatography–mass </w:t>
            </w:r>
            <w:r>
              <w:br/>
            </w:r>
            <w:r>
              <w:rPr>
                <w:spacing w:val="-10"/>
                <w:rFonts w:ascii="MyriadPro" w:hAnsi="MyriadPro" w:eastAsia="MyriadPro"/>
                <w:color w:val="000000"/>
                <w:sz w:val="20"/>
              </w:rPr>
              <w:t>spectrometry (GC–MS) was employed to identify bioactive compounds, while fatty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00" w:type="dxa"/>
        <w:gridCol w:w="7740" w:type="dxa"/>
      </w:tblGrid>
      <w:tr>
        <w:trPr>
          <w:trHeight w:hRule="exact" w:val="754"/>
        </w:trPr>
        <w:tc>
          <w:tcPr>
            <w:tcW w:type="dxa" w:w="27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2" w:lineRule="exact" w:before="0" w:after="0"/>
              <w:ind w:left="460" w:right="288" w:firstLine="0"/>
              <w:jc w:val="both"/>
            </w:pPr>
            <w:r>
              <w:rPr>
                <w:spacing w:val="-10"/>
                <w:w w:val="105.0"/>
                <w:rFonts w:ascii="MyriadPro" w:hAnsi="MyriadPro" w:eastAsia="MyriadPro"/>
                <w:color w:val="000000"/>
                <w:sz w:val="10"/>
              </w:rPr>
              <w:t>3</w:t>
            </w: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 xml:space="preserve">Department of Natural Science, </w:t>
            </w:r>
            <w:r>
              <w:br/>
            </w: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 xml:space="preserve">Mbeya University of Science and </w:t>
            </w:r>
            <w:r>
              <w:br/>
            </w: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>Technology, P.O. Box 131, Mbeya,</w:t>
            </w:r>
          </w:p>
          <w:p>
            <w:pPr>
              <w:autoSpaceDN w:val="0"/>
              <w:autoSpaceDE w:val="0"/>
              <w:widowControl/>
              <w:spacing w:line="102" w:lineRule="exact" w:before="46" w:after="0"/>
              <w:ind w:left="460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5"/>
              </w:rPr>
              <w:t>Tanzania</w:t>
            </w:r>
          </w:p>
        </w:tc>
        <w:tc>
          <w:tcPr>
            <w:tcW w:type="dxa" w:w="77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240" w:lineRule="exact" w:before="8" w:after="0"/>
              <w:ind w:left="314" w:right="432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20"/>
              </w:rPr>
              <w:t xml:space="preserve">acid composition was determined using Fourier-transform near-infrared spectroscopy </w:t>
            </w:r>
            <w:r>
              <w:br/>
            </w:r>
            <w:r>
              <w:rPr>
                <w:spacing w:val="-10"/>
                <w:rFonts w:ascii="MyriadPro" w:hAnsi="MyriadPro" w:eastAsia="MyriadPro"/>
                <w:color w:val="000000"/>
                <w:sz w:val="20"/>
              </w:rPr>
              <w:t xml:space="preserve">(FT-NIR). Antioxidant activity was assessed using 2,2-diphenyl-1-picrylhydrazyl (DPPH) </w:t>
            </w:r>
            <w:r>
              <w:br/>
            </w:r>
            <w:r>
              <w:rPr>
                <w:spacing w:val="-10"/>
                <w:rFonts w:ascii="MyriadPro" w:hAnsi="MyriadPro" w:eastAsia="MyriadPro"/>
                <w:color w:val="000000"/>
                <w:sz w:val="20"/>
              </w:rPr>
              <w:t>and hydrogen peroxide scavenging assays.</w:t>
            </w:r>
          </w:p>
        </w:tc>
      </w:tr>
    </w:tbl>
    <w:p>
      <w:pPr>
        <w:autoSpaceDN w:val="0"/>
        <w:autoSpaceDE w:val="0"/>
        <w:widowControl/>
        <w:spacing w:line="234" w:lineRule="exact" w:before="0" w:after="0"/>
        <w:ind w:left="3454" w:right="1008" w:firstLine="0"/>
        <w:jc w:val="left"/>
      </w:pPr>
      <w:r>
        <w:rPr>
          <w:spacing w:val="-10"/>
          <w:rFonts w:ascii="MyriadPro" w:hAnsi="MyriadPro" w:eastAsia="MyriadPro"/>
          <w:color w:val="000000"/>
          <w:sz w:val="20"/>
        </w:rPr>
        <w:t>GC–MS analysis revealed the presence of seven compounds: 1-isopropylidene-4-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>methylcyclohexane, oct-5-en-2-yn-4-ol, 3,7,11,15-Tetramethyl-hexadeca-2,6,10,14-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 xml:space="preserve">tetraen-1-ol, 4-Allyl-2,6-dimethoxy-phenol, 4-Hydroxy-3,5-dimethoxy-benzaldehyde, 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>elemicin and squalene. Among these, only squalene has previously been reported in</w:t>
      </w:r>
    </w:p>
    <w:p>
      <w:pPr>
        <w:autoSpaceDN w:val="0"/>
        <w:autoSpaceDE w:val="0"/>
        <w:widowControl/>
        <w:spacing w:line="228" w:lineRule="exact" w:before="18" w:after="0"/>
        <w:ind w:left="0" w:right="1148" w:firstLine="0"/>
        <w:jc w:val="right"/>
      </w:pPr>
      <w:r>
        <w:rPr>
          <w:spacing w:val="-10"/>
          <w:rFonts w:ascii="MyriadPro" w:hAnsi="MyriadPro" w:eastAsia="MyriadPro"/>
          <w:color w:val="000000"/>
          <w:sz w:val="20"/>
        </w:rPr>
        <w:t>Oyster nut; the remaining are reported here for the first time. The oil was composed</w:t>
      </w:r>
    </w:p>
    <w:p>
      <w:pPr>
        <w:autoSpaceDN w:val="0"/>
        <w:autoSpaceDE w:val="0"/>
        <w:widowControl/>
        <w:spacing w:line="238" w:lineRule="exact" w:before="0" w:after="0"/>
        <w:ind w:left="3454" w:right="1008" w:firstLine="0"/>
        <w:jc w:val="left"/>
      </w:pPr>
      <w:r>
        <w:rPr>
          <w:spacing w:val="-10"/>
          <w:rFonts w:ascii="MyriadPro" w:hAnsi="MyriadPro" w:eastAsia="MyriadPro"/>
          <w:color w:val="000000"/>
          <w:sz w:val="20"/>
        </w:rPr>
        <w:t xml:space="preserve">of a high proportion of unsaturated fatty acids (54.7%) while the saturated fatty acids 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 xml:space="preserve">constituted (45.3%). This overall fatty acid composition of the oil was dominated by 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 xml:space="preserve">linoleic acid (45.6%), followed by palmitic acid (32.4%), stearic acid (13.2%), oleic acid 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>(8.5%), and linolenic acid (0.3%). Antioxidant assays demonstrated concentration-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 xml:space="preserve">dependent activity, with the half-maximal inhibitory concentration (IC₅₀) values 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 xml:space="preserve">of 12.99 µg/mL (DPPH) and 99.40 µg/mL (H₂O₂), higher than that of ascorbic acid </w:t>
      </w:r>
      <w:r>
        <w:br/>
      </w:r>
      <w:r>
        <w:rPr>
          <w:spacing w:val="-10"/>
          <w:rFonts w:ascii="MyriadPro" w:hAnsi="MyriadPro" w:eastAsia="MyriadPro"/>
          <w:color w:val="000000"/>
          <w:sz w:val="20"/>
        </w:rPr>
        <w:t>(11.39 µg/mL).</w:t>
      </w:r>
    </w:p>
    <w:p>
      <w:pPr>
        <w:autoSpaceDN w:val="0"/>
        <w:autoSpaceDE w:val="0"/>
        <w:widowControl/>
        <w:spacing w:line="228" w:lineRule="exact" w:before="20" w:after="0"/>
        <w:ind w:left="0" w:right="1476" w:firstLine="0"/>
        <w:jc w:val="right"/>
      </w:pPr>
      <w:r>
        <w:rPr>
          <w:spacing w:val="-10"/>
          <w:rFonts w:ascii="MyriadPro" w:hAnsi="MyriadPro" w:eastAsia="MyriadPro"/>
          <w:color w:val="000000"/>
          <w:sz w:val="20"/>
        </w:rPr>
        <w:t>These findings highlight the potential of Oyster nut oil as a functional food with</w:t>
      </w:r>
    </w:p>
    <w:p>
      <w:pPr>
        <w:autoSpaceDN w:val="0"/>
        <w:autoSpaceDE w:val="0"/>
        <w:widowControl/>
        <w:spacing w:line="184" w:lineRule="exact" w:before="48" w:after="0"/>
        <w:ind w:left="0" w:right="4764" w:firstLine="0"/>
        <w:jc w:val="right"/>
      </w:pPr>
      <w:r>
        <w:rPr>
          <w:spacing w:val="-10"/>
          <w:rFonts w:ascii="MyriadPro" w:hAnsi="MyriadPro" w:eastAsia="MyriadPro"/>
          <w:color w:val="000000"/>
          <w:sz w:val="20"/>
        </w:rPr>
        <w:t>promising health-promoting properties.</w:t>
      </w:r>
    </w:p>
    <w:p>
      <w:pPr>
        <w:autoSpaceDN w:val="0"/>
        <w:autoSpaceDE w:val="0"/>
        <w:widowControl/>
        <w:spacing w:line="188" w:lineRule="exact" w:before="114" w:after="0"/>
        <w:ind w:left="0" w:right="1116" w:firstLine="0"/>
        <w:jc w:val="right"/>
      </w:pPr>
      <w:r>
        <w:rPr>
          <w:spacing w:val="-10"/>
          <w:rFonts w:ascii="MyriadPro" w:hAnsi="MyriadPro" w:eastAsia="MyriadPro"/>
          <w:b/>
          <w:color w:val="000000"/>
          <w:sz w:val="20"/>
        </w:rPr>
        <w:t>Keywords</w:t>
      </w:r>
      <w:r>
        <w:rPr>
          <w:spacing w:val="-10"/>
          <w:rFonts w:ascii="MyriadPro" w:hAnsi="MyriadPro" w:eastAsia="MyriadPro"/>
          <w:i/>
          <w:color w:val="000000"/>
          <w:sz w:val="20"/>
        </w:rPr>
        <w:t xml:space="preserve"> Telfairia pedata</w:t>
      </w:r>
      <w:r>
        <w:rPr>
          <w:spacing w:val="-10"/>
          <w:rFonts w:ascii="MyriadPro" w:hAnsi="MyriadPro" w:eastAsia="MyriadPro"/>
          <w:color w:val="000000"/>
          <w:sz w:val="20"/>
        </w:rPr>
        <w:t>, Fatty acids, Antioxidant activity, Phytochemicals, Vegetable</w:t>
      </w:r>
    </w:p>
    <w:p>
      <w:pPr>
        <w:autoSpaceDN w:val="0"/>
        <w:autoSpaceDE w:val="0"/>
        <w:widowControl/>
        <w:spacing w:line="144" w:lineRule="exact" w:before="54" w:after="0"/>
        <w:ind w:left="0" w:right="7782" w:firstLine="0"/>
        <w:jc w:val="right"/>
      </w:pPr>
      <w:r>
        <w:rPr>
          <w:spacing w:val="-10"/>
          <w:rFonts w:ascii="MyriadPro" w:hAnsi="MyriadPro" w:eastAsia="MyriadPro"/>
          <w:color w:val="000000"/>
          <w:sz w:val="20"/>
        </w:rPr>
        <w:t>oil</w:t>
      </w:r>
    </w:p>
    <w:p>
      <w:pPr>
        <w:autoSpaceDN w:val="0"/>
        <w:autoSpaceDE w:val="0"/>
        <w:widowControl/>
        <w:spacing w:line="148" w:lineRule="exact" w:before="590" w:after="0"/>
        <w:ind w:left="0" w:right="6716" w:firstLine="0"/>
        <w:jc w:val="right"/>
      </w:pPr>
      <w:r>
        <w:rPr>
          <w:spacing w:val="-10"/>
          <w:w w:val="98.0952399117606"/>
          <w:rFonts w:ascii="MyriadPro" w:hAnsi="MyriadPro" w:eastAsia="MyriadPro"/>
          <w:b/>
          <w:color w:val="000000"/>
          <w:sz w:val="21"/>
        </w:rPr>
        <w:t>1 Introduction</w:t>
      </w:r>
    </w:p>
    <w:p>
      <w:pPr>
        <w:autoSpaceDN w:val="0"/>
        <w:autoSpaceDE w:val="0"/>
        <w:widowControl/>
        <w:spacing w:line="292" w:lineRule="exact" w:before="94" w:after="0"/>
        <w:ind w:left="0" w:right="894" w:firstLine="0"/>
        <w:jc w:val="righ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Plant edible oils are used for food processing </w:t>
      </w:r>
      <w:hyperlink r:id="rId12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t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 enhance the flavor, texture and taste</w:t>
      </w:r>
    </w:p>
    <w:p>
      <w:pPr>
        <w:autoSpaceDN w:val="0"/>
        <w:autoSpaceDE w:val="0"/>
        <w:widowControl/>
        <w:spacing w:line="188" w:lineRule="exact" w:before="38" w:after="0"/>
        <w:ind w:left="0" w:right="894" w:firstLine="0"/>
        <w:jc w:val="righ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of food, in addition to their therapeutic uses [</w:t>
      </w:r>
      <w:hyperlink r:id="rId12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Sesame, olive, corn, soybean, cotton,</w:t>
      </w:r>
    </w:p>
    <w:p>
      <w:pPr>
        <w:autoSpaceDN w:val="0"/>
        <w:autoSpaceDE w:val="0"/>
        <w:widowControl/>
        <w:spacing w:line="292" w:lineRule="exact" w:before="48" w:after="0"/>
        <w:ind w:left="0" w:right="894" w:firstLine="0"/>
        <w:jc w:val="righ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peanut, sunflower, and palm nut are among the frequently used seed crop oils. These</w:t>
      </w:r>
    </w:p>
    <w:p>
      <w:pPr>
        <w:autoSpaceDN w:val="0"/>
        <w:autoSpaceDE w:val="0"/>
        <w:widowControl/>
        <w:spacing w:line="126" w:lineRule="exact" w:before="338" w:after="0"/>
        <w:ind w:left="0" w:right="902" w:firstLine="0"/>
        <w:jc w:val="right"/>
      </w:pPr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>©TheAuthor(s)2026.</w:t>
      </w:r>
      <w:r>
        <w:rPr>
          <w:spacing w:val="-10"/>
          <w:w w:val="97.46794019426618"/>
          <w:rFonts w:ascii="MyriadPro" w:hAnsi="MyriadPro" w:eastAsia="MyriadPro"/>
          <w:b/>
          <w:color w:val="000000"/>
          <w:sz w:val="14"/>
        </w:rPr>
        <w:t>OpenAccess</w:t>
      </w:r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 xml:space="preserve"> ThisarticleislicensedunderaCreativeCommonsAttribution-NonCommercial-NoDerivatives4.0International</w:t>
      </w:r>
    </w:p>
    <w:p>
      <w:pPr>
        <w:autoSpaceDN w:val="0"/>
        <w:autoSpaceDE w:val="0"/>
        <w:widowControl/>
        <w:spacing w:line="132" w:lineRule="exact" w:before="32" w:after="0"/>
        <w:ind w:left="0" w:right="902" w:firstLine="0"/>
        <w:jc w:val="right"/>
      </w:pPr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>License, which permits any non-commercial use, sharing, distribution and reproduction in any medium or format, as long as you give appropriate</w:t>
      </w:r>
    </w:p>
    <w:p>
      <w:pPr>
        <w:autoSpaceDN w:val="0"/>
        <w:autoSpaceDE w:val="0"/>
        <w:widowControl/>
        <w:spacing w:line="158" w:lineRule="exact" w:before="6" w:after="0"/>
        <w:ind w:left="0" w:right="902" w:firstLine="0"/>
        <w:jc w:val="right"/>
      </w:pPr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>credit to the original author(s) and the source, provide a link to the Creative Commons licence, and indicate if you modified the licensed material.</w:t>
      </w:r>
    </w:p>
    <w:p>
      <w:pPr>
        <w:autoSpaceDN w:val="0"/>
        <w:autoSpaceDE w:val="0"/>
        <w:widowControl/>
        <w:spacing w:line="132" w:lineRule="exact" w:before="24" w:after="0"/>
        <w:ind w:left="0" w:right="902" w:firstLine="0"/>
        <w:jc w:val="right"/>
      </w:pPr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>You do not have permission under this licence to share adapted material derived from this article or parts of it. The images or other third party</w:t>
      </w:r>
    </w:p>
    <w:p>
      <w:pPr>
        <w:autoSpaceDN w:val="0"/>
        <w:autoSpaceDE w:val="0"/>
        <w:widowControl/>
        <w:spacing w:line="160" w:lineRule="exact" w:before="0" w:after="0"/>
        <w:ind w:left="3324" w:right="902" w:firstLine="0"/>
        <w:jc w:val="both"/>
      </w:pPr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 xml:space="preserve">material in this article are included in the article’s Creative Commons licence, unless indicated otherwise in a credit line to the material. If material </w:t>
      </w:r>
      <w:r>
        <w:br/>
      </w:r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>is not included in the article’s Creative Commons licence and your intended use is not permitted by statutory r</w:t>
      </w:r>
      <w:hyperlink r:id="rId13" w:history="1">
        <w:r>
          <w:rPr>
            <w:rStyle w:val="Hyperlink"/>
            <w:rFonts w:ascii="MyriadPro" w:hAnsi="MyriadPro" w:eastAsia="MyriadPro" w:cs="MyriadPro"/>
            <w:sz w:val="13.645511627197266"/>
            <w:color w:val="000000"/>
            <w:w w:val="97.46794019426618"/>
            <w:spacing w:val="-10"/>
          </w:rPr>
          <w:t xml:space="preserve">egulation or exceeds the permitted </w:t>
        </w:r>
      </w:hyperlink>
      <w:r>
        <w:br/>
      </w:r>
      <w:hyperlink r:id="rId13" w:history="1">
        <w:r>
          <w:rPr>
            <w:rStyle w:val="Hyperlink"/>
            <w:rFonts w:ascii="MyriadPro" w:hAnsi="MyriadPro" w:eastAsia="MyriadPro" w:cs="MyriadPro"/>
            <w:sz w:val="13.645511627197266"/>
            <w:color w:val="000000"/>
            <w:w w:val="97.46794019426618"/>
            <w:spacing w:val="-10"/>
          </w:rPr>
          <w:t>use, you will nee</w:t>
        </w:r>
      </w:hyperlink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>d to obtain permission directly from the copyright holder. To view a copy of this licence, visit</w:t>
      </w:r>
      <w:r>
        <w:rPr>
          <w:spacing w:val="-10"/>
          <w:w w:val="97.46794019426618"/>
          <w:rFonts w:ascii="MyriadPro" w:hAnsi="MyriadPro" w:eastAsia="MyriadPro"/>
          <w:color w:val="0000FF"/>
          <w:sz w:val="14"/>
        </w:rPr>
        <w:t xml:space="preserve"> </w:t>
      </w:r>
      <w:hyperlink r:id="rId13" w:history="1">
        <w:r>
          <w:rPr>
            <w:rStyle w:val="Hyperlink"/>
            <w:rFonts w:ascii="MyriadPro" w:hAnsi="MyriadPro" w:eastAsia="MyriadPro" w:cs="MyriadPro"/>
            <w:sz w:val="13.645511627197266"/>
            <w:color w:val="0000FF"/>
            <w:w w:val="97.46794019426618"/>
            <w:spacing w:val="-10"/>
          </w:rPr>
          <w:t xml:space="preserve">http://creativecommons.org/licens </w:t>
        </w:r>
      </w:hyperlink>
      <w:r>
        <w:br/>
      </w:r>
      <w:hyperlink r:id="rId13" w:history="1">
        <w:r>
          <w:rPr>
            <w:rStyle w:val="Hyperlink"/>
            <w:rFonts w:ascii="MyriadPro" w:hAnsi="MyriadPro" w:eastAsia="MyriadPro" w:cs="MyriadPro"/>
            <w:sz w:val="13.645511627197266"/>
            <w:color w:val="0000FF"/>
            <w:w w:val="97.46794019426618"/>
            <w:spacing w:val="-10"/>
          </w:rPr>
          <w:t>es/by-nc-nd/4.0/</w:t>
        </w:r>
      </w:hyperlink>
      <w:r>
        <w:rPr>
          <w:spacing w:val="-10"/>
          <w:w w:val="97.46794019426618"/>
          <w:rFonts w:ascii="MyriadPro" w:hAnsi="MyriadPro" w:eastAsia="MyriadPro"/>
          <w:color w:val="000000"/>
          <w:sz w:val="14"/>
        </w:rPr>
        <w:t>.</w:t>
      </w:r>
    </w:p>
    <w:p>
      <w:pPr>
        <w:sectPr>
          <w:pgSz w:w="11906" w:h="15874"/>
          <w:pgMar w:top="240" w:right="240" w:bottom="112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20" w:type="dxa"/>
        <w:gridCol w:w="3800" w:type="dxa"/>
        <w:gridCol w:w="4000" w:type="dxa"/>
      </w:tblGrid>
      <w:tr>
        <w:trPr>
          <w:trHeight w:hRule="exact" w:val="210"/>
        </w:trPr>
        <w:tc>
          <w:tcPr>
            <w:tcW w:type="dxa" w:w="2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Shayo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et al. Discover Chemistry</w:t>
            </w:r>
          </w:p>
        </w:tc>
        <w:tc>
          <w:tcPr>
            <w:tcW w:type="dxa" w:w="38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4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3:378</w:t>
            </w:r>
          </w:p>
        </w:tc>
        <w:tc>
          <w:tcPr>
            <w:tcW w:type="dxa" w:w="40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2 of 15</w:t>
            </w:r>
          </w:p>
        </w:tc>
      </w:tr>
    </w:tbl>
    <w:p>
      <w:pPr>
        <w:autoSpaceDN w:val="0"/>
        <w:autoSpaceDE w:val="0"/>
        <w:widowControl/>
        <w:spacing w:line="284" w:lineRule="exact" w:before="674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</w:t>
      </w:r>
      <w:hyperlink r:id="rId52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d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ible oils are obtained from the endosperm, the inner part of seeds and fruit (pericarp)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[</w:t>
      </w:r>
      <w:hyperlink r:id="rId52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Over the past few decades, there has b</w:t>
      </w:r>
      <w:hyperlink r:id="rId53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e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en extensive research and discussion into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impact of dietary fat on human health [</w:t>
      </w:r>
      <w:hyperlink r:id="rId53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]. Despite the fact that fat quality has the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most impact on human health</w:t>
      </w:r>
      <w:hyperlink r:id="rId54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 xml:space="preserve">, 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 low-fat diet was long advocated as a panacea for many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civilization-related illnesses [</w:t>
      </w:r>
      <w:hyperlink r:id="rId54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]. Saturated fatty acids (SFA), monounsaturated fatty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acids (MUFA), polyunsaturated fatty acids (PUFA), and most importantly, the ratio of</w:t>
      </w:r>
    </w:p>
    <w:p>
      <w:pPr>
        <w:autoSpaceDN w:val="0"/>
        <w:autoSpaceDE w:val="0"/>
        <w:widowControl/>
        <w:spacing w:line="290" w:lineRule="exact" w:before="5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omega-6 to omega-3 fatty acids, all influence the quality of dietary fat [</w:t>
      </w:r>
      <w:hyperlink r:id="rId55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,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56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6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</w:t>
      </w:r>
    </w:p>
    <w:p>
      <w:pPr>
        <w:autoSpaceDN w:val="0"/>
        <w:autoSpaceDE w:val="0"/>
        <w:widowControl/>
        <w:spacing w:line="292" w:lineRule="exact" w:before="0" w:after="0"/>
        <w:ind w:left="227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use of synthetic or industrial refined oil is associated with health concerns such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as cardiovascular diseases, diabetes and obesity ascribed to their high level of saturated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fatty acids [</w:t>
      </w:r>
      <w:hyperlink r:id="rId57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7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,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58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8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Therefore, alternative oil(s) is urgently needed to rescue the world pop­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ulation from the currently increasing nutritional diseases. Cold-pressed plant oils are</w:t>
      </w:r>
    </w:p>
    <w:p>
      <w:pPr>
        <w:autoSpaceDN w:val="0"/>
        <w:autoSpaceDE w:val="0"/>
        <w:widowControl/>
        <w:spacing w:line="282" w:lineRule="exact" w:before="58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considered a better alternative to both synthetic and industrially refined oils due to the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</w:t>
      </w:r>
      <w:hyperlink r:id="rId59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r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</w:t>
      </w:r>
      <w:hyperlink r:id="rId60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ser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vation of phytochemicals that offer high pharmaceutical and nutritional benefits</w:t>
      </w:r>
    </w:p>
    <w:p>
      <w:pPr>
        <w:autoSpaceDN w:val="0"/>
        <w:autoSpaceDE w:val="0"/>
        <w:widowControl/>
        <w:spacing w:line="172" w:lineRule="exact" w:before="4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[</w:t>
      </w:r>
      <w:hyperlink r:id="rId59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9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–</w:t>
      </w:r>
      <w:hyperlink r:id="rId6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</w:t>
      </w:r>
    </w:p>
    <w:p>
      <w:pPr>
        <w:autoSpaceDN w:val="0"/>
        <w:autoSpaceDE w:val="0"/>
        <w:widowControl/>
        <w:spacing w:line="188" w:lineRule="exact" w:before="110" w:after="0"/>
        <w:ind w:left="227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Oxidative stress is an imbalance between the body’s antioxidant system and free radical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production [</w:t>
      </w:r>
      <w:hyperlink r:id="rId61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Cellular damage, inflammation, and the emergence of chronic illnesses s</w:t>
      </w:r>
      <w:hyperlink r:id="rId62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uc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h</w:t>
      </w:r>
    </w:p>
    <w:p>
      <w:pPr>
        <w:autoSpaceDN w:val="0"/>
        <w:autoSpaceDE w:val="0"/>
        <w:widowControl/>
        <w:spacing w:line="272" w:lineRule="exact" w:before="0" w:after="0"/>
        <w:ind w:left="2112" w:right="2114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as diabetes, heart diseases, and cancer, might result from a disturbance in this balance [</w:t>
      </w:r>
      <w:hyperlink r:id="rId62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].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However, antioxidants are substances that can prevent or reduce oxidative damage to the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body’s tissues and cells by neutralizing free radicals. Apart from the body’s natural antioxi­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dants, phytochemicals found in plant oils act as exogenous antioxi</w:t>
      </w:r>
      <w:hyperlink r:id="rId63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da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nts that shield the body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from a variety of diseases and conditions linked to oxidative stress [</w:t>
      </w:r>
      <w:hyperlink r:id="rId63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</w:t>
      </w:r>
    </w:p>
    <w:p>
      <w:pPr>
        <w:autoSpaceDN w:val="0"/>
        <w:autoSpaceDE w:val="0"/>
        <w:widowControl/>
        <w:spacing w:line="292" w:lineRule="exact" w:before="48" w:after="0"/>
        <w:ind w:left="227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raised consumer awareness on cold-pressed plant oils, which are considered natural</w:t>
      </w:r>
    </w:p>
    <w:p>
      <w:pPr>
        <w:autoSpaceDN w:val="0"/>
        <w:autoSpaceDE w:val="0"/>
        <w:widowControl/>
        <w:spacing w:line="226" w:lineRule="exact" w:before="64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functional food, has increased their demand in the market [</w:t>
      </w:r>
      <w:hyperlink r:id="rId64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The quality of cold-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pressed plant oil as a functional food is partly determined by its fatty acid composition and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phytochemical profiles, which vary with plant species [</w:t>
      </w:r>
      <w:hyperlink r:id="rId55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Sunflower and palm seeds have</w:t>
      </w:r>
    </w:p>
    <w:p>
      <w:pPr>
        <w:autoSpaceDN w:val="0"/>
        <w:autoSpaceDE w:val="0"/>
        <w:widowControl/>
        <w:spacing w:line="256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been used for edible oil production for a long time. However, the high levels of saturated fatty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acids in palm oil has raised health concerns, with ongoing debate to reduce its use for human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consumption [</w:t>
      </w:r>
      <w:hyperlink r:id="rId65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16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,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66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17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This necessitates the search for new sources of healthy plant-based</w:t>
      </w:r>
    </w:p>
    <w:p>
      <w:pPr>
        <w:autoSpaceDN w:val="0"/>
        <w:autoSpaceDE w:val="0"/>
        <w:widowControl/>
        <w:spacing w:line="188" w:lineRule="exact" w:before="38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edible oil with low saturated fatty acids.</w:t>
      </w:r>
    </w:p>
    <w:p>
      <w:pPr>
        <w:autoSpaceDN w:val="0"/>
        <w:autoSpaceDE w:val="0"/>
        <w:widowControl/>
        <w:spacing w:line="292" w:lineRule="exact" w:before="48" w:after="0"/>
        <w:ind w:left="227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Oyster nut,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 xml:space="preserve"> Telfairia pedata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(Smiths ex Sim) Hook., is an herbaceous perennial vine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with coiled tendrils and a member of the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 xml:space="preserve"> Cucurbitaceae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family and a small genus of flow­</w:t>
      </w:r>
    </w:p>
    <w:p>
      <w:pPr>
        <w:autoSpaceDN w:val="0"/>
        <w:autoSpaceDE w:val="0"/>
        <w:widowControl/>
        <w:spacing w:line="264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ering plants. It grows well in loa</w:t>
      </w:r>
      <w:hyperlink r:id="rId67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my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soils and creeps on tall hardwood trees, live fences or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wooden structures for support [</w:t>
      </w:r>
      <w:hyperlink r:id="rId67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18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]. It is common in Tanzania, Mozambique, Kenya and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Uganda [</w:t>
      </w:r>
      <w:hyperlink r:id="rId68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19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In Tanzania, it is considered part of the rich agroforestry systems of the North­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ern and Southern Highlands of r</w:t>
      </w:r>
      <w:hyperlink r:id="rId69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egi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ons, where it is grown in combination with coffee (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Coffea</w:t>
      </w:r>
    </w:p>
    <w:p>
      <w:pPr>
        <w:autoSpaceDN w:val="0"/>
        <w:autoSpaceDE w:val="0"/>
        <w:widowControl/>
        <w:spacing w:line="186" w:lineRule="exact" w:before="38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arabica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 and banana (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Musa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sp.) [</w:t>
      </w:r>
      <w:hyperlink r:id="rId69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20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</w:t>
      </w:r>
    </w:p>
    <w:p>
      <w:pPr>
        <w:autoSpaceDN w:val="0"/>
        <w:autoSpaceDE w:val="0"/>
        <w:widowControl/>
        <w:spacing w:line="284" w:lineRule="exact" w:before="2" w:after="0"/>
        <w:ind w:left="2112" w:right="2112" w:firstLine="16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Oyster nuts bear squash-like fruits with large, oily, and nutritious seeds [</w:t>
      </w:r>
      <w:hyperlink r:id="rId7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], which are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mainly consumed fresh, raw, cooked or ground to thicken staple meals. Staple meals mixed </w:t>
      </w:r>
      <w:r>
        <w:br/>
      </w:r>
      <w:hyperlink r:id="rId71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wit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h</w:t>
      </w:r>
      <w:hyperlink r:id="rId72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 xml:space="preserve"> O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yster nut paste are valued by lactating women due to reported lactogenic properties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[</w:t>
      </w:r>
      <w:hyperlink r:id="rId71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,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72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Des</w:t>
      </w:r>
      <w:hyperlink r:id="rId73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pit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 its widespread consumption in Tanzania and high oil yield ranging between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55 and 60% [</w:t>
      </w:r>
      <w:hyperlink r:id="rId73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the species remains neglected and underutilized f</w:t>
      </w:r>
      <w:hyperlink r:id="rId67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or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edible oil production.</w:t>
      </w:r>
    </w:p>
    <w:p>
      <w:pPr>
        <w:autoSpaceDN w:val="0"/>
        <w:autoSpaceDE w:val="0"/>
        <w:widowControl/>
        <w:spacing w:line="284" w:lineRule="exact" w:before="0" w:after="0"/>
        <w:ind w:left="2112" w:right="2112" w:firstLine="16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Few studies have investigated Oyster nuts: one from Uganda [</w:t>
      </w:r>
      <w:hyperlink r:id="rId67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18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 and two</w:t>
      </w:r>
      <w:hyperlink r:id="rId73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 xml:space="preserve"> fr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</w:t>
      </w:r>
      <w:hyperlink r:id="rId74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 xml:space="preserve">m 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North­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ern Highlands of Tanzania, particularly Kilimanjaro, Arusha, and Tanga [</w:t>
      </w:r>
      <w:hyperlink r:id="rId73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,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74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]. As a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result, there is limited comprehensive compositional and bioactive data on Oyster nut oil.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Meanwhile, no documented study has evaluated Oyster nuts grown in Njombe, located in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Southern Highlands of Tanzania, regardless of ecological variations known to influence</w:t>
      </w:r>
    </w:p>
    <w:p>
      <w:pPr>
        <w:sectPr>
          <w:pgSz w:w="11906" w:h="15874"/>
          <w:pgMar w:top="240" w:right="240" w:bottom="122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1974850</wp:posOffset>
            </wp:positionH>
            <wp:positionV relativeFrom="page">
              <wp:posOffset>7359650</wp:posOffset>
            </wp:positionV>
            <wp:extent cx="3606800" cy="17462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3606800" cy="174625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20" w:type="dxa"/>
        <w:gridCol w:w="3800" w:type="dxa"/>
        <w:gridCol w:w="4000" w:type="dxa"/>
      </w:tblGrid>
      <w:tr>
        <w:trPr>
          <w:trHeight w:hRule="exact" w:val="210"/>
        </w:trPr>
        <w:tc>
          <w:tcPr>
            <w:tcW w:type="dxa" w:w="2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Shayo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et al. Discover Chemistry</w:t>
            </w:r>
          </w:p>
        </w:tc>
        <w:tc>
          <w:tcPr>
            <w:tcW w:type="dxa" w:w="38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4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3:378</w:t>
            </w:r>
          </w:p>
        </w:tc>
        <w:tc>
          <w:tcPr>
            <w:tcW w:type="dxa" w:w="40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3 of 15</w:t>
            </w:r>
          </w:p>
        </w:tc>
      </w:tr>
    </w:tbl>
    <w:p>
      <w:pPr>
        <w:autoSpaceDN w:val="0"/>
        <w:autoSpaceDE w:val="0"/>
        <w:widowControl/>
        <w:spacing w:line="290" w:lineRule="exact" w:before="72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nutrient and phytochemical composition. Such ecological differences may significantly</w:t>
      </w:r>
    </w:p>
    <w:p>
      <w:pPr>
        <w:autoSpaceDN w:val="0"/>
        <w:autoSpaceDE w:val="0"/>
        <w:widowControl/>
        <w:spacing w:line="292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affect oil quality and biological activity [</w:t>
      </w:r>
      <w:hyperlink r:id="rId75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26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,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76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27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Therefore, this study aimed to investigate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phytochemical constituents, fatty acid profile and antioxidant potential of Oyster nut oil</w:t>
      </w:r>
    </w:p>
    <w:p>
      <w:pPr>
        <w:autoSpaceDN w:val="0"/>
        <w:autoSpaceDE w:val="0"/>
        <w:widowControl/>
        <w:spacing w:line="186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from Njombe, Tanzania. We hypothesize that this study could unveil more compositional</w:t>
      </w:r>
    </w:p>
    <w:p>
      <w:pPr>
        <w:autoSpaceDN w:val="0"/>
        <w:autoSpaceDE w:val="0"/>
        <w:widowControl/>
        <w:spacing w:line="184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bioactive data to enrich the database to support its nutritional value and promote its</w:t>
      </w:r>
    </w:p>
    <w:p>
      <w:pPr>
        <w:autoSpaceDN w:val="0"/>
        <w:autoSpaceDE w:val="0"/>
        <w:widowControl/>
        <w:spacing w:line="142" w:lineRule="exact" w:before="10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commercialization.</w:t>
      </w:r>
    </w:p>
    <w:p>
      <w:pPr>
        <w:autoSpaceDN w:val="0"/>
        <w:autoSpaceDE w:val="0"/>
        <w:widowControl/>
        <w:spacing w:line="150" w:lineRule="exact" w:before="416" w:after="0"/>
        <w:ind w:left="2112" w:right="0" w:firstLine="0"/>
        <w:jc w:val="left"/>
      </w:pPr>
      <w:r>
        <w:rPr>
          <w:spacing w:val="-10"/>
          <w:w w:val="98.0952399117606"/>
          <w:rFonts w:ascii="MyriadPro" w:hAnsi="MyriadPro" w:eastAsia="MyriadPro"/>
          <w:b/>
          <w:color w:val="000000"/>
          <w:sz w:val="21"/>
        </w:rPr>
        <w:t>2 Materials and methods</w:t>
      </w:r>
    </w:p>
    <w:p>
      <w:pPr>
        <w:autoSpaceDN w:val="0"/>
        <w:autoSpaceDE w:val="0"/>
        <w:widowControl/>
        <w:spacing w:line="170" w:lineRule="exact" w:before="150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2.1 Study area</w:t>
      </w:r>
    </w:p>
    <w:p>
      <w:pPr>
        <w:autoSpaceDN w:val="0"/>
        <w:autoSpaceDE w:val="0"/>
        <w:widowControl/>
        <w:spacing w:line="186" w:lineRule="exact" w:before="10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Njombe District, located in the Southern Highlands of Tanzania at an altitude of approxi­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mately 1,800–2,000 m above sea level, experiences a cool tropical highland climate. The area</w:t>
      </w:r>
    </w:p>
    <w:p>
      <w:pPr>
        <w:autoSpaceDN w:val="0"/>
        <w:autoSpaceDE w:val="0"/>
        <w:widowControl/>
        <w:spacing w:line="186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receives an average annual rainfall from 1,000 to 1,600 mm, with a unimodal rainfall pattern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occurring between November and April. The dry season extends from May to October. Min­</w:t>
      </w:r>
    </w:p>
    <w:p>
      <w:pPr>
        <w:autoSpaceDN w:val="0"/>
        <w:autoSpaceDE w:val="0"/>
        <w:widowControl/>
        <w:spacing w:line="186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imum temperatures range between 12 °C and 20 °C, with cooler co</w:t>
      </w:r>
      <w:hyperlink r:id="rId77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nd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itions prevailing during</w:t>
      </w:r>
    </w:p>
    <w:p>
      <w:pPr>
        <w:autoSpaceDN w:val="0"/>
        <w:autoSpaceDE w:val="0"/>
        <w:widowControl/>
        <w:spacing w:line="192" w:lineRule="exact" w:before="92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dry season; temperature can drop to 8</w:t>
      </w:r>
      <w:r>
        <w:rPr>
          <w:spacing w:val="-10"/>
          <w:w w:val="98.00000190734863"/>
          <w:rFonts w:ascii="SimSun" w:hAnsi="SimSun" w:eastAsia="SimSun"/>
          <w:color w:val="000000"/>
          <w:sz w:val="20"/>
        </w:rPr>
        <w:t xml:space="preserve"> ℃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during June and July [</w:t>
      </w:r>
      <w:hyperlink r:id="rId77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28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</w:t>
      </w:r>
    </w:p>
    <w:p>
      <w:pPr>
        <w:autoSpaceDN w:val="0"/>
        <w:autoSpaceDE w:val="0"/>
        <w:widowControl/>
        <w:spacing w:line="166" w:lineRule="exact" w:before="38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2.2 Sample collection, preparation and extraction</w:t>
      </w:r>
    </w:p>
    <w:p>
      <w:pPr>
        <w:autoSpaceDN w:val="0"/>
        <w:autoSpaceDE w:val="0"/>
        <w:widowControl/>
        <w:spacing w:line="188" w:lineRule="exact" w:before="10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Oyster nut seeds (1 kg) were bought on 7 July 2025 from local vendors at Soko Kuu Njombe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market in Njombe District (9°20’04.5” S, 34°46’04.8” E). The samples were transported to</w:t>
      </w:r>
    </w:p>
    <w:p>
      <w:pPr>
        <w:autoSpaceDN w:val="0"/>
        <w:autoSpaceDE w:val="0"/>
        <w:widowControl/>
        <w:spacing w:line="186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laboratories of Mbeya University of Science and Technology, where they were stored in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airtight screw-cap containers at room temperature prior to further analysis. The seeds were</w:t>
      </w:r>
    </w:p>
    <w:p>
      <w:pPr>
        <w:autoSpaceDN w:val="0"/>
        <w:autoSpaceDE w:val="0"/>
        <w:widowControl/>
        <w:spacing w:line="292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sorted and sun-dried. The shells were broken by hand before using knives to remove the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fibrous shell to obtain the kernels. The resulting cotyledons (seed kernels) were stored in the</w:t>
      </w:r>
    </w:p>
    <w:p>
      <w:pPr>
        <w:autoSpaceDN w:val="0"/>
        <w:autoSpaceDE w:val="0"/>
        <w:widowControl/>
        <w:spacing w:line="190" w:lineRule="exact" w:before="3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refrigerator (4</w:t>
      </w:r>
      <w:r>
        <w:rPr>
          <w:spacing w:val="-10"/>
          <w:w w:val="98.00000190734863"/>
          <w:rFonts w:ascii="SimSun" w:hAnsi="SimSun" w:eastAsia="SimSun"/>
          <w:color w:val="000000"/>
          <w:sz w:val="20"/>
        </w:rPr>
        <w:t xml:space="preserve"> ℃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 prior to oil extraction. Oil extraction was performed using a cold press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method as described by [</w:t>
      </w:r>
      <w:hyperlink r:id="rId6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Briefly, the cotyledons were placed in a cold press machine,</w:t>
      </w:r>
    </w:p>
    <w:p>
      <w:pPr>
        <w:autoSpaceDN w:val="0"/>
        <w:autoSpaceDE w:val="0"/>
        <w:widowControl/>
        <w:spacing w:line="292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which was operated at 10 MPa for 15 min at a temperature of 25</w:t>
      </w:r>
      <w:r>
        <w:rPr>
          <w:spacing w:val="-10"/>
          <w:w w:val="98.00000190734863"/>
          <w:rFonts w:ascii="SimSun" w:hAnsi="SimSun" w:eastAsia="SimSun"/>
          <w:color w:val="000000"/>
          <w:sz w:val="20"/>
        </w:rPr>
        <w:t xml:space="preserve"> ℃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to extract the oil. The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extracted oi</w:t>
      </w:r>
      <w:hyperlink r:id="rId78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 xml:space="preserve">l 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was filtered through Whatman No.2 filter paper, transferred into transparent</w:t>
      </w:r>
    </w:p>
    <w:p>
      <w:pPr>
        <w:autoSpaceDN w:val="0"/>
        <w:autoSpaceDE w:val="0"/>
        <w:widowControl/>
        <w:spacing w:line="190" w:lineRule="exact" w:before="3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bottles (Fig.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78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), covered with aluminum foil, and stored in a refrigerator at 4</w:t>
      </w:r>
      <w:r>
        <w:rPr>
          <w:spacing w:val="-10"/>
          <w:w w:val="98.00000190734863"/>
          <w:rFonts w:ascii="SimSun" w:hAnsi="SimSun" w:eastAsia="SimSun"/>
          <w:color w:val="000000"/>
          <w:sz w:val="20"/>
        </w:rPr>
        <w:t xml:space="preserve"> ℃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until analysis.</w:t>
      </w:r>
    </w:p>
    <w:p>
      <w:pPr>
        <w:autoSpaceDN w:val="0"/>
        <w:autoSpaceDE w:val="0"/>
        <w:widowControl/>
        <w:spacing w:line="172" w:lineRule="exact" w:before="38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2.3 Preliminary phytochemical screening</w:t>
      </w:r>
    </w:p>
    <w:p>
      <w:pPr>
        <w:autoSpaceDN w:val="0"/>
        <w:autoSpaceDE w:val="0"/>
        <w:widowControl/>
        <w:spacing w:line="290" w:lineRule="exact" w:before="5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Oyster nut oil was screened for alkaloids, flavonoids, saponins, terpenes and anthra­</w:t>
      </w:r>
    </w:p>
    <w:p>
      <w:pPr>
        <w:autoSpaceDN w:val="0"/>
        <w:autoSpaceDE w:val="0"/>
        <w:widowControl/>
        <w:spacing w:line="292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quinones by following the standard procedure as described by [</w:t>
      </w:r>
      <w:hyperlink r:id="rId79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29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with slight modifica­</w:t>
      </w:r>
    </w:p>
    <w:p>
      <w:pPr>
        <w:autoSpaceDN w:val="0"/>
        <w:autoSpaceDE w:val="0"/>
        <w:widowControl/>
        <w:spacing w:line="188" w:lineRule="exact" w:before="38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tions to the amounts of sample and reagents to improve sensitivity.</w:t>
      </w:r>
    </w:p>
    <w:p>
      <w:pPr>
        <w:autoSpaceDN w:val="0"/>
        <w:autoSpaceDE w:val="0"/>
        <w:widowControl/>
        <w:spacing w:line="152" w:lineRule="exact" w:before="365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6"/>
        </w:rPr>
        <w:t>Fig. 1</w:t>
      </w:r>
      <w:r>
        <w:rPr>
          <w:spacing w:val="-10"/>
          <w:rFonts w:ascii="MyriadPro" w:hAnsi="MyriadPro" w:eastAsia="MyriadPro"/>
          <w:color w:val="000000"/>
          <w:sz w:val="16"/>
        </w:rPr>
        <w:t xml:space="preserve"> Oyster nut</w:t>
      </w:r>
      <w:r>
        <w:rPr>
          <w:spacing w:val="-10"/>
          <w:rFonts w:ascii="MyriadPro" w:hAnsi="MyriadPro" w:eastAsia="MyriadPro"/>
          <w:b/>
          <w:color w:val="000000"/>
          <w:sz w:val="16"/>
        </w:rPr>
        <w:t xml:space="preserve"> a</w:t>
      </w:r>
      <w:r>
        <w:rPr>
          <w:spacing w:val="-10"/>
          <w:rFonts w:ascii="MyriadPro" w:hAnsi="MyriadPro" w:eastAsia="MyriadPro"/>
          <w:color w:val="000000"/>
          <w:sz w:val="16"/>
        </w:rPr>
        <w:t>) peeled cotyledons</w:t>
      </w:r>
      <w:r>
        <w:rPr>
          <w:spacing w:val="-10"/>
          <w:rFonts w:ascii="MyriadPro" w:hAnsi="MyriadPro" w:eastAsia="MyriadPro"/>
          <w:b/>
          <w:color w:val="000000"/>
          <w:sz w:val="16"/>
        </w:rPr>
        <w:t xml:space="preserve"> b</w:t>
      </w:r>
      <w:r>
        <w:rPr>
          <w:spacing w:val="-10"/>
          <w:rFonts w:ascii="MyriadPro" w:hAnsi="MyriadPro" w:eastAsia="MyriadPro"/>
          <w:color w:val="000000"/>
          <w:sz w:val="16"/>
        </w:rPr>
        <w:t>) bottle of oil surrounded with unshelled nuts</w:t>
      </w:r>
    </w:p>
    <w:p>
      <w:pPr>
        <w:sectPr>
          <w:pgSz w:w="11906" w:h="15874"/>
          <w:pgMar w:top="240" w:right="240" w:bottom="114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20" w:type="dxa"/>
        <w:gridCol w:w="3800" w:type="dxa"/>
        <w:gridCol w:w="4000" w:type="dxa"/>
      </w:tblGrid>
      <w:tr>
        <w:trPr>
          <w:trHeight w:hRule="exact" w:val="210"/>
        </w:trPr>
        <w:tc>
          <w:tcPr>
            <w:tcW w:type="dxa" w:w="2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Shayo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et al. Discover Chemistry</w:t>
            </w:r>
          </w:p>
        </w:tc>
        <w:tc>
          <w:tcPr>
            <w:tcW w:type="dxa" w:w="38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4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3:378</w:t>
            </w:r>
          </w:p>
        </w:tc>
        <w:tc>
          <w:tcPr>
            <w:tcW w:type="dxa" w:w="40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4 of 15</w:t>
            </w:r>
          </w:p>
        </w:tc>
      </w:tr>
    </w:tbl>
    <w:p>
      <w:pPr>
        <w:autoSpaceDN w:val="0"/>
        <w:autoSpaceDE w:val="0"/>
        <w:widowControl/>
        <w:spacing w:line="134" w:lineRule="exact" w:before="776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2.4 Determination of alkaloids</w:t>
      </w:r>
    </w:p>
    <w:p>
      <w:pPr>
        <w:autoSpaceDN w:val="0"/>
        <w:autoSpaceDE w:val="0"/>
        <w:widowControl/>
        <w:spacing w:line="188" w:lineRule="exact" w:before="1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About 3 mL of oil was mixed with 6 mL of 2% (v/v) aqueous hydrochloric acid and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shaken vigorously. A separating funnel was used to obtain the aqueous layer. Then, 0.5</w:t>
      </w:r>
    </w:p>
    <w:p>
      <w:pPr>
        <w:autoSpaceDN w:val="0"/>
        <w:autoSpaceDE w:val="0"/>
        <w:widowControl/>
        <w:spacing w:line="292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mL of the resulting aqueous solution was mixed with 1 mL of Dragendroff’s Reagent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shaken. The appearance of an orange or red precipitate indicated the presence of</w:t>
      </w:r>
    </w:p>
    <w:p>
      <w:pPr>
        <w:autoSpaceDN w:val="0"/>
        <w:autoSpaceDE w:val="0"/>
        <w:widowControl/>
        <w:spacing w:line="142" w:lineRule="exact" w:before="4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alkaloids.</w:t>
      </w:r>
    </w:p>
    <w:p>
      <w:pPr>
        <w:autoSpaceDN w:val="0"/>
        <w:autoSpaceDE w:val="0"/>
        <w:widowControl/>
        <w:spacing w:line="224" w:lineRule="exact" w:before="384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2.5 Determination of flavonoids</w:t>
      </w:r>
    </w:p>
    <w:p>
      <w:pPr>
        <w:autoSpaceDN w:val="0"/>
        <w:autoSpaceDE w:val="0"/>
        <w:widowControl/>
        <w:spacing w:line="190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About 1 mL of the sample solution obtained by using 2% (v/v) aqueous hydrochloric acid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was mixed with 1 mL of lead acetate and shaken. The formation of white precipitates</w:t>
      </w:r>
    </w:p>
    <w:p>
      <w:pPr>
        <w:autoSpaceDN w:val="0"/>
        <w:autoSpaceDE w:val="0"/>
        <w:widowControl/>
        <w:spacing w:line="290" w:lineRule="exact" w:before="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indicated the presence of flavonoids.</w:t>
      </w:r>
    </w:p>
    <w:p>
      <w:pPr>
        <w:autoSpaceDN w:val="0"/>
        <w:autoSpaceDE w:val="0"/>
        <w:widowControl/>
        <w:spacing w:line="168" w:lineRule="exact" w:before="330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2.6 Determination of saponins</w:t>
      </w:r>
    </w:p>
    <w:p>
      <w:pPr>
        <w:autoSpaceDN w:val="0"/>
        <w:autoSpaceDE w:val="0"/>
        <w:widowControl/>
        <w:spacing w:line="186" w:lineRule="exact" w:before="10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About 1 mL of the sample solution obtained by using 70% ethanol was mixed with 3 mL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of distilled water, shaken well, and then gently warmed. The persistent formation of froth</w:t>
      </w:r>
    </w:p>
    <w:p>
      <w:pPr>
        <w:autoSpaceDN w:val="0"/>
        <w:autoSpaceDE w:val="0"/>
        <w:widowControl/>
        <w:spacing w:line="184" w:lineRule="exact" w:before="4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indicated the presence of saponins.</w:t>
      </w:r>
    </w:p>
    <w:p>
      <w:pPr>
        <w:autoSpaceDN w:val="0"/>
        <w:autoSpaceDE w:val="0"/>
        <w:widowControl/>
        <w:spacing w:line="170" w:lineRule="exact" w:before="38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2.7 Determination of anthraquinones</w:t>
      </w:r>
    </w:p>
    <w:p>
      <w:pPr>
        <w:autoSpaceDN w:val="0"/>
        <w:autoSpaceDE w:val="0"/>
        <w:widowControl/>
        <w:spacing w:line="188" w:lineRule="exact" w:before="10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About 1 mL of the sample solution obtained using 70% ethanol was mixed with 1 mL of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concentrated hydrochloric acid. The mixture was then treated with 2 mL of diethyl ether,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followed by the addition of strong ammonia. The formation of pink or red color in the</w:t>
      </w:r>
    </w:p>
    <w:p>
      <w:pPr>
        <w:autoSpaceDN w:val="0"/>
        <w:autoSpaceDE w:val="0"/>
        <w:widowControl/>
        <w:spacing w:line="186" w:lineRule="exact" w:before="4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aqueous layer indicated the presence of anthraquinones.</w:t>
      </w:r>
    </w:p>
    <w:p>
      <w:pPr>
        <w:autoSpaceDN w:val="0"/>
        <w:autoSpaceDE w:val="0"/>
        <w:widowControl/>
        <w:spacing w:line="170" w:lineRule="exact" w:before="386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2.8 Determination of terpenes</w:t>
      </w:r>
    </w:p>
    <w:p>
      <w:pPr>
        <w:autoSpaceDN w:val="0"/>
        <w:autoSpaceDE w:val="0"/>
        <w:widowControl/>
        <w:spacing w:line="184" w:lineRule="exact" w:before="10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About 1 mL of the chloroform was mixed with 1 mL of oil, then the mixture was evap­</w:t>
      </w:r>
    </w:p>
    <w:p>
      <w:pPr>
        <w:autoSpaceDN w:val="0"/>
        <w:autoSpaceDE w:val="0"/>
        <w:widowControl/>
        <w:spacing w:line="292" w:lineRule="exact" w:before="52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orated to dryness. Thereafter, 1 mL of concentrated sulphuric acid was added, the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resulting mixture was heated for 2 min. The formation of a greyish color indicated the</w:t>
      </w:r>
    </w:p>
    <w:p>
      <w:pPr>
        <w:autoSpaceDN w:val="0"/>
        <w:autoSpaceDE w:val="0"/>
        <w:widowControl/>
        <w:spacing w:line="184" w:lineRule="exact" w:before="4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presence of terpenes.</w:t>
      </w:r>
    </w:p>
    <w:p>
      <w:pPr>
        <w:autoSpaceDN w:val="0"/>
        <w:autoSpaceDE w:val="0"/>
        <w:widowControl/>
        <w:spacing w:line="172" w:lineRule="exact" w:before="390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2.9 GC-MS analysis</w:t>
      </w:r>
    </w:p>
    <w:p>
      <w:pPr>
        <w:autoSpaceDN w:val="0"/>
        <w:autoSpaceDE w:val="0"/>
        <w:widowControl/>
        <w:spacing w:line="188" w:lineRule="exact" w:before="102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Prior to GC-MS analysis, 10 mg of oil was dissolved in 1 mL GC-grade n-hexane and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filtered through a 0.22 μm PTFE syringe filter. The sample was stored in an amber bot­</w:t>
      </w:r>
    </w:p>
    <w:p>
      <w:pPr>
        <w:autoSpaceDN w:val="0"/>
        <w:autoSpaceDE w:val="0"/>
        <w:widowControl/>
        <w:spacing w:line="192" w:lineRule="exact" w:before="3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tle with a PTFE septum cap and stored shortly in a refrigerator at 4</w:t>
      </w:r>
      <w:r>
        <w:rPr>
          <w:spacing w:val="-10"/>
          <w:w w:val="98.00000190734863"/>
          <w:rFonts w:ascii="SimSun" w:hAnsi="SimSun" w:eastAsia="SimSun"/>
          <w:color w:val="000000"/>
          <w:sz w:val="20"/>
        </w:rPr>
        <w:t xml:space="preserve"> ℃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before injecting</w:t>
      </w:r>
    </w:p>
    <w:p>
      <w:pPr>
        <w:autoSpaceDN w:val="0"/>
        <w:autoSpaceDE w:val="0"/>
        <w:widowControl/>
        <w:spacing w:line="188" w:lineRule="exact" w:before="9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into the GC-MS system. An Agilent Technologies GC-MS system (Agilent GC-MS-</w:t>
      </w:r>
    </w:p>
    <w:p>
      <w:pPr>
        <w:autoSpaceDN w:val="0"/>
        <w:autoSpaceDE w:val="0"/>
        <w:widowControl/>
        <w:spacing w:line="190" w:lineRule="exact" w:before="9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7890B/7000D Series) equipped with a fused silica capillary column (Agilent J&amp;W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DB-5ms UI 30 m × 0.25 mm × 0.25 μm) was used for the analysis. The oven initial tem­</w:t>
      </w:r>
    </w:p>
    <w:p>
      <w:pPr>
        <w:autoSpaceDN w:val="0"/>
        <w:autoSpaceDE w:val="0"/>
        <w:widowControl/>
        <w:spacing w:line="184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perature was set to 70 °C held for 0.5 min, ramped at 25 °C/min to 180 °C held for 1</w:t>
      </w:r>
    </w:p>
    <w:p>
      <w:pPr>
        <w:autoSpaceDN w:val="0"/>
        <w:autoSpaceDE w:val="0"/>
        <w:widowControl/>
        <w:spacing w:line="292" w:lineRule="exact" w:before="52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min, then ramped at 6 °C/min to 280 °C held for 8 min. The injection port was main­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tained at 280 °C, with Helium as the carrier gas at a flow rate of 1.2 mL/min. The ion­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ization voltage was set to 70 eV. Samples (1 µL) were injected in 10:1 split mode. Mass</w:t>
      </w:r>
    </w:p>
    <w:p>
      <w:pPr>
        <w:autoSpaceDN w:val="0"/>
        <w:autoSpaceDE w:val="0"/>
        <w:widowControl/>
        <w:spacing w:line="188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spectral scanning was performed in the range of 40–500 m/z. Compounds in the sample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were identified using computer searches of the NIST Ver.2.1 mass spectral data library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combined with comparison of the spectra. The National Institute of Standard and Tech­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nology (NIST) database, containing over 62,000 patterns, was used for mass-spectrum</w:t>
      </w:r>
    </w:p>
    <w:p>
      <w:pPr>
        <w:autoSpaceDN w:val="0"/>
        <w:autoSpaceDE w:val="0"/>
        <w:widowControl/>
        <w:spacing w:line="188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interpretation. Unknown component spectra were matched against known spectra in</w:t>
      </w:r>
    </w:p>
    <w:p>
      <w:pPr>
        <w:sectPr>
          <w:pgSz w:w="11906" w:h="15874"/>
          <w:pgMar w:top="240" w:right="240" w:bottom="156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20" w:type="dxa"/>
        <w:gridCol w:w="3800" w:type="dxa"/>
        <w:gridCol w:w="4000" w:type="dxa"/>
      </w:tblGrid>
      <w:tr>
        <w:trPr>
          <w:trHeight w:hRule="exact" w:val="210"/>
        </w:trPr>
        <w:tc>
          <w:tcPr>
            <w:tcW w:type="dxa" w:w="2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Shayo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et al. Discover Chemistry</w:t>
            </w:r>
          </w:p>
        </w:tc>
        <w:tc>
          <w:tcPr>
            <w:tcW w:type="dxa" w:w="38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4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3:378</w:t>
            </w:r>
          </w:p>
        </w:tc>
        <w:tc>
          <w:tcPr>
            <w:tcW w:type="dxa" w:w="40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5 of 15</w:t>
            </w:r>
          </w:p>
        </w:tc>
      </w:tr>
    </w:tbl>
    <w:p>
      <w:pPr>
        <w:autoSpaceDN w:val="0"/>
        <w:autoSpaceDE w:val="0"/>
        <w:widowControl/>
        <w:spacing w:line="290" w:lineRule="exact" w:before="72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Wiley and NIST library. The component names</w:t>
      </w:r>
      <w:hyperlink r:id="rId81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, m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olecular weights, and structures</w:t>
      </w:r>
    </w:p>
    <w:p>
      <w:pPr>
        <w:autoSpaceDN w:val="0"/>
        <w:autoSpaceDE w:val="0"/>
        <w:widowControl/>
        <w:spacing w:line="186" w:lineRule="exact" w:before="4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of the Oyster nut oil were subsequently determined [</w:t>
      </w:r>
      <w:hyperlink r:id="rId81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30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</w:t>
      </w:r>
    </w:p>
    <w:p>
      <w:pPr>
        <w:autoSpaceDN w:val="0"/>
        <w:autoSpaceDE w:val="0"/>
        <w:widowControl/>
        <w:spacing w:line="172" w:lineRule="exact" w:before="38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2.10 Fatty acid composition analysis</w:t>
      </w:r>
    </w:p>
    <w:p>
      <w:pPr>
        <w:autoSpaceDN w:val="0"/>
        <w:autoSpaceDE w:val="0"/>
        <w:widowControl/>
        <w:spacing w:line="290" w:lineRule="exact" w:before="5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fatty acids composition of Oyster nut oil was determined by using a Fourier-Trans­</w:t>
      </w:r>
    </w:p>
    <w:p>
      <w:pPr>
        <w:autoSpaceDN w:val="0"/>
        <w:autoSpaceDE w:val="0"/>
        <w:widowControl/>
        <w:spacing w:line="186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form Near-Infrared (FT-NIR) spectrophotometer (Bruker, TANGO Optics GmbH,</w:t>
      </w:r>
    </w:p>
    <w:p>
      <w:pPr>
        <w:autoSpaceDN w:val="0"/>
        <w:autoSpaceDE w:val="0"/>
        <w:widowControl/>
        <w:spacing w:line="226" w:lineRule="exact" w:before="116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Ettlingen, Germany) following the method described by [</w:t>
      </w:r>
      <w:hyperlink r:id="rId82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 with minor modifications.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Fatty acid methyl esters (FAMEs) were prepared by dissolving 10 mg of oil in 2 mL of</w:t>
      </w:r>
    </w:p>
    <w:p>
      <w:pPr>
        <w:autoSpaceDN w:val="0"/>
        <w:autoSpaceDE w:val="0"/>
        <w:widowControl/>
        <w:spacing w:line="188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n-hexane in a screw-capped test tube, followed by the addition of 0.5 mL of 0.5 M meth­</w:t>
      </w:r>
    </w:p>
    <w:p>
      <w:pPr>
        <w:autoSpaceDN w:val="0"/>
        <w:autoSpaceDE w:val="0"/>
        <w:widowControl/>
        <w:spacing w:line="282" w:lineRule="exact" w:before="58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anolic potassium hydroxide. The mixture was vigorously shaken for 1 min to facilitate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transesterification and subsequently allowed to stand until phase separation occurred.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upper hexane layer containing the fatty acid methyl esters was carefully collected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for use in FT-NIR analysis. Subsequently, 1 mL of the sample was transferred into 1 mm</w:t>
      </w:r>
    </w:p>
    <w:p>
      <w:pPr>
        <w:autoSpaceDN w:val="0"/>
        <w:autoSpaceDE w:val="0"/>
        <w:widowControl/>
        <w:spacing w:line="186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quartz cuvettes and scanned using FT-NIR spectrophotometer in transmission mode</w:t>
      </w:r>
    </w:p>
    <w:p>
      <w:pPr>
        <w:autoSpaceDN w:val="0"/>
        <w:autoSpaceDE w:val="0"/>
        <w:widowControl/>
        <w:spacing w:line="216" w:lineRule="exact" w:before="6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over the range of 12,000 to 4000 cm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−1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at 8 cm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−1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resolution. A total of 32 scans were</w:t>
      </w:r>
    </w:p>
    <w:p>
      <w:pPr>
        <w:autoSpaceDN w:val="0"/>
        <w:autoSpaceDE w:val="0"/>
        <w:widowControl/>
        <w:spacing w:line="186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averaged per spectrum, requiring one 1 min per spectral acquisition. Reference fatty</w:t>
      </w:r>
    </w:p>
    <w:p>
      <w:pPr>
        <w:autoSpaceDN w:val="0"/>
        <w:autoSpaceDE w:val="0"/>
        <w:widowControl/>
        <w:spacing w:line="284" w:lineRule="exact" w:before="56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acids composition was determined using gas chromatography equipped with flame ion­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ization detection (GC-FID). Major fatty acids were quantified using certified standards.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The fatty acid profile for each sample was obtained based on the retention times of their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respective FAMEs, with reference to a certified Me63 fatty acid methyl ester mixture as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 external standard. FT-NIR spectra were pre-processed using standard normal vari­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ate and Savitzky-Golay first derivative, and partial least squares regression models were</w:t>
      </w:r>
    </w:p>
    <w:p>
      <w:pPr>
        <w:autoSpaceDN w:val="0"/>
        <w:autoSpaceDE w:val="0"/>
        <w:widowControl/>
        <w:spacing w:line="184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developed to correlate spectral data with GC reference values. Model performance was</w:t>
      </w:r>
    </w:p>
    <w:p>
      <w:pPr>
        <w:autoSpaceDN w:val="0"/>
        <w:autoSpaceDE w:val="0"/>
        <w:widowControl/>
        <w:spacing w:line="216" w:lineRule="exact" w:before="7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evaluated by cross-validation and external validation using R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2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, residual mean square</w:t>
      </w:r>
    </w:p>
    <w:p>
      <w:pPr>
        <w:autoSpaceDN w:val="0"/>
        <w:autoSpaceDE w:val="0"/>
        <w:widowControl/>
        <w:spacing w:line="284" w:lineRule="exact" w:before="56" w:after="0"/>
        <w:ind w:left="2112" w:right="2016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error (RMSE), and the ratio of performance to deviation (RPD). The validated models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were applied for rapid, non-destructive prediction of fatty acid profile in the oil sample.</w:t>
      </w:r>
    </w:p>
    <w:p>
      <w:pPr>
        <w:autoSpaceDN w:val="0"/>
        <w:autoSpaceDE w:val="0"/>
        <w:widowControl/>
        <w:spacing w:line="174" w:lineRule="exact" w:before="32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2.11 Determination of DPPH free radical scavenging activity</w:t>
      </w:r>
    </w:p>
    <w:p>
      <w:pPr>
        <w:autoSpaceDN w:val="0"/>
        <w:autoSpaceDE w:val="0"/>
        <w:widowControl/>
        <w:spacing w:line="284" w:lineRule="exact" w:before="62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The in vitro 2,2-diphenyl-2-picryhydrazyl (DPPH) radical scavenging activity assay was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conducted as described by [</w:t>
      </w:r>
      <w:hyperlink r:id="rId83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 and [</w:t>
      </w:r>
      <w:hyperlink r:id="rId84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 with slight modifications. A solution of 0.0003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 DPPH was prepared by dissolving 12 mg of DPPH in 100 mL of n-hexane. A stock</w:t>
      </w:r>
    </w:p>
    <w:p>
      <w:pPr>
        <w:autoSpaceDN w:val="0"/>
        <w:autoSpaceDE w:val="0"/>
        <w:widowControl/>
        <w:spacing w:line="188" w:lineRule="exact" w:before="9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solution of the oil sample (2000 µg/mL) was prepared by dissolving 100 mg of oil in 50</w:t>
      </w:r>
    </w:p>
    <w:p>
      <w:pPr>
        <w:autoSpaceDN w:val="0"/>
        <w:autoSpaceDE w:val="0"/>
        <w:widowControl/>
        <w:spacing w:line="284" w:lineRule="exact" w:before="56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mL of n-hexane. From this solution, five working concentrations (1000, 500, 250, 125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62.5 µg/mL) were obtained through serial two-fold dilution using n-hexane. Then, 1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mL of 0.0003 M DPPH solution was added to 2.5 mL of each sample working concentra­</w:t>
      </w:r>
    </w:p>
    <w:p>
      <w:pPr>
        <w:autoSpaceDN w:val="0"/>
        <w:autoSpaceDE w:val="0"/>
        <w:widowControl/>
        <w:spacing w:line="186" w:lineRule="exact" w:before="9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tion. For the positive control, an L-ascorbic acid stock solution (50 mL) was prepared</w:t>
      </w:r>
    </w:p>
    <w:p>
      <w:pPr>
        <w:autoSpaceDN w:val="0"/>
        <w:autoSpaceDE w:val="0"/>
        <w:widowControl/>
        <w:spacing w:line="284" w:lineRule="exact" w:before="58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identically to the oil sample, yielding the same five concentrations (1000, 500, 250, 125,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62.5 µg/mL). Then, 1 mL of 0.0003 M DPPH solution was added to 2.5 mL of each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L-ascorbic acid solution. A blank solution was prepared by mixing 1 mL of the 0.0003 M</w:t>
      </w:r>
    </w:p>
    <w:p>
      <w:pPr>
        <w:autoSpaceDN w:val="0"/>
        <w:autoSpaceDE w:val="0"/>
        <w:widowControl/>
        <w:spacing w:line="186" w:lineRule="exact" w:before="9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DPPH with 2.5 mL of n-hexane. All solutions (sample, L-ascorbic acid and blank) were</w:t>
      </w:r>
    </w:p>
    <w:p>
      <w:pPr>
        <w:autoSpaceDN w:val="0"/>
        <w:autoSpaceDE w:val="0"/>
        <w:widowControl/>
        <w:spacing w:line="226" w:lineRule="exact" w:before="116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shaken thoroughly and incubated in the dark for 30 min at 25</w:t>
      </w:r>
      <w:r>
        <w:rPr>
          <w:spacing w:val="-10"/>
          <w:w w:val="98.00000190734863"/>
          <w:rFonts w:ascii="SimSun" w:hAnsi="SimSun" w:eastAsia="SimSun"/>
          <w:color w:val="000000"/>
          <w:sz w:val="20"/>
        </w:rPr>
        <w:t xml:space="preserve"> ℃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. The absorbance of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each solution was measured at 517 nm using a UV-VIS spectrophotometer (210 PLUS −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223F1376). The experiment was conducted in triplicate. The absorbances obtained were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used to calculate the percentage of radical scavenging activity (%RSA) using the formula</w:t>
      </w:r>
    </w:p>
    <w:p>
      <w:pPr>
        <w:autoSpaceDN w:val="0"/>
        <w:autoSpaceDE w:val="0"/>
        <w:widowControl/>
        <w:spacing w:line="230" w:lineRule="exact" w:before="11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described by Brand Williams et al. [</w:t>
      </w:r>
      <w:hyperlink r:id="rId85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shown by Eq.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86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. The antioxidant concentration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required to reduce the DPPH radical by 50% (IC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50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 for both the Oyster nut oil extract</w:t>
      </w:r>
    </w:p>
    <w:p>
      <w:pPr>
        <w:sectPr>
          <w:pgSz w:w="11906" w:h="15874"/>
          <w:pgMar w:top="240" w:right="240" w:bottom="126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2466340</wp:posOffset>
            </wp:positionH>
            <wp:positionV relativeFrom="page">
              <wp:posOffset>1654810</wp:posOffset>
            </wp:positionV>
            <wp:extent cx="2388870" cy="1015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>
                      <a:off x="0" y="0"/>
                      <a:ext cx="2388870" cy="1015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2904490</wp:posOffset>
            </wp:positionH>
            <wp:positionV relativeFrom="page">
              <wp:posOffset>5689600</wp:posOffset>
            </wp:positionV>
            <wp:extent cx="2388870" cy="1016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>
                      <a:off x="0" y="0"/>
                      <a:ext cx="2388870" cy="1016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8585200</wp:posOffset>
            </wp:positionV>
            <wp:extent cx="243205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2"/>
                    <a:stretch>
                      <a:fillRect/>
                    </a:stretch>
                  </pic:blipFill>
                  <pic:spPr>
                    <a:xfrm>
                      <a:off x="0" y="0"/>
                      <a:ext cx="243205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3925570</wp:posOffset>
            </wp:positionH>
            <wp:positionV relativeFrom="page">
              <wp:posOffset>8585200</wp:posOffset>
            </wp:positionV>
            <wp:extent cx="1783079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1783079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5708650</wp:posOffset>
            </wp:positionH>
            <wp:positionV relativeFrom="page">
              <wp:posOffset>8436610</wp:posOffset>
            </wp:positionV>
            <wp:extent cx="35687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4"/>
                    <a:stretch>
                      <a:fillRect/>
                    </a:stretch>
                  </pic:blipFill>
                  <pic:spPr>
                    <a:xfrm>
                      <a:off x="0" y="0"/>
                      <a:ext cx="356870" cy="50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5708650</wp:posOffset>
            </wp:positionH>
            <wp:positionV relativeFrom="page">
              <wp:posOffset>8585200</wp:posOffset>
            </wp:positionV>
            <wp:extent cx="35687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4"/>
                    <a:stretch>
                      <a:fillRect/>
                    </a:stretch>
                  </pic:blipFill>
                  <pic:spPr>
                    <a:xfrm>
                      <a:off x="0" y="0"/>
                      <a:ext cx="35687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9326880</wp:posOffset>
            </wp:positionV>
            <wp:extent cx="457200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79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20" w:type="dxa"/>
        <w:gridCol w:w="3800" w:type="dxa"/>
        <w:gridCol w:w="4000" w:type="dxa"/>
      </w:tblGrid>
      <w:tr>
        <w:trPr>
          <w:trHeight w:hRule="exact" w:val="210"/>
        </w:trPr>
        <w:tc>
          <w:tcPr>
            <w:tcW w:type="dxa" w:w="2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Shayo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et al. Discover Chemistry</w:t>
            </w:r>
          </w:p>
        </w:tc>
        <w:tc>
          <w:tcPr>
            <w:tcW w:type="dxa" w:w="38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4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3:378</w:t>
            </w:r>
          </w:p>
        </w:tc>
        <w:tc>
          <w:tcPr>
            <w:tcW w:type="dxa" w:w="40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6 of 15</w:t>
            </w:r>
          </w:p>
        </w:tc>
      </w:tr>
    </w:tbl>
    <w:p>
      <w:pPr>
        <w:autoSpaceDN w:val="0"/>
        <w:autoSpaceDE w:val="0"/>
        <w:widowControl/>
        <w:spacing w:line="188" w:lineRule="exact" w:before="77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L-ascorbic acid was determined by non-linear regression analysis using Origin-Pro</w:t>
      </w:r>
    </w:p>
    <w:p>
      <w:pPr>
        <w:autoSpaceDN w:val="0"/>
        <w:autoSpaceDE w:val="0"/>
        <w:widowControl/>
        <w:spacing w:line="176" w:lineRule="exact" w:before="94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software (version 2019b, 9.65).</w:t>
      </w:r>
    </w:p>
    <w:p>
      <w:pPr>
        <w:autoSpaceDN w:val="0"/>
        <w:tabs>
          <w:tab w:pos="9086" w:val="left"/>
        </w:tabs>
        <w:autoSpaceDE w:val="0"/>
        <w:widowControl/>
        <w:spacing w:line="312" w:lineRule="exact" w:before="220" w:after="0"/>
        <w:ind w:left="2896" w:right="0" w:firstLine="0"/>
        <w:jc w:val="left"/>
      </w:pPr>
      <w:r>
        <w:rPr>
          <w:spacing w:val="-10"/>
          <w:w w:val="97.63400077819824"/>
          <w:rFonts w:ascii="LMRoman10" w:hAnsi="LMRoman10" w:eastAsia="LMRoman10"/>
          <w:color w:val="000000"/>
          <w:sz w:val="20"/>
        </w:rPr>
        <w:t>d</w:t>
      </w:r>
      <w:r>
        <w:rPr>
          <w:spacing w:val="-10"/>
          <w:rFonts w:ascii="SFRM1000" w:hAnsi="SFRM1000" w:eastAsia="SFRM1000"/>
          <w:color w:val="000000"/>
          <w:sz w:val="20"/>
        </w:rPr>
        <w:t>ispl</w:t>
      </w:r>
      <w:r>
        <w:rPr>
          <w:spacing w:val="-10"/>
          <w:rFonts w:ascii="SFRM1000" w:hAnsi="SFRM1000" w:eastAsia="SFRM1000"/>
          <w:color w:val="000000"/>
          <w:sz w:val="20"/>
        </w:rPr>
        <w:t xml:space="preserve">ay-eq-Equ1 </w:t>
      </w:r>
      <w:r>
        <w:tab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(1)</w:t>
      </w:r>
    </w:p>
    <w:p>
      <w:pPr>
        <w:autoSpaceDN w:val="0"/>
        <w:autoSpaceDE w:val="0"/>
        <w:widowControl/>
        <w:spacing w:line="172" w:lineRule="exact" w:before="536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2.12 12 Hydrogen peroxide scavenging activity assay</w:t>
      </w:r>
    </w:p>
    <w:p>
      <w:pPr>
        <w:autoSpaceDN w:val="0"/>
        <w:autoSpaceDE w:val="0"/>
        <w:widowControl/>
        <w:spacing w:line="192" w:lineRule="exact" w:before="10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Hydrogen peroxide (H</w:t>
      </w:r>
      <w:hyperlink r:id="rId87" w:history="1">
        <w:r>
          <w:rPr>
            <w:rStyle w:val="Hyperlink"/>
            <w:rFonts w:ascii="WarnockPro" w:hAnsi="WarnockPro" w:eastAsia="WarnockPro" w:cs="WarnockPro"/>
            <w:sz w:val="13.720000267028809"/>
            <w:color w:val="000000"/>
            <w:w w:val="98.00000190734863"/>
            <w:spacing w:val="-10"/>
          </w:rPr>
          <w:t>2</w:t>
        </w:r>
      </w:hyperlink>
      <w:hyperlink r:id="rId87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O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2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 scavenging activity assay was performed according to the</w:t>
      </w:r>
    </w:p>
    <w:p>
      <w:pPr>
        <w:autoSpaceDN w:val="0"/>
        <w:autoSpaceDE w:val="0"/>
        <w:widowControl/>
        <w:spacing w:line="188" w:lineRule="exact" w:before="9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method described by [</w:t>
      </w:r>
      <w:hyperlink r:id="rId87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A 0.002 M H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2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2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solution was prepared in 0.2 M phosphate</w:t>
      </w:r>
    </w:p>
    <w:p>
      <w:pPr>
        <w:autoSpaceDN w:val="0"/>
        <w:autoSpaceDE w:val="0"/>
        <w:widowControl/>
        <w:spacing w:line="290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buffer solution (PBS) at pH of 7.4. Briefly, 50 mL of 0.002 M H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2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2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was mixed with 50</w:t>
      </w:r>
    </w:p>
    <w:p>
      <w:pPr>
        <w:autoSpaceDN w:val="0"/>
        <w:autoSpaceDE w:val="0"/>
        <w:widowControl/>
        <w:spacing w:line="292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mL PBS (1:1 ratio) and allowed to stand for 5 min at 25</w:t>
      </w:r>
      <w:r>
        <w:rPr>
          <w:spacing w:val="-10"/>
          <w:w w:val="98.00000190734863"/>
          <w:rFonts w:ascii="SimSun" w:hAnsi="SimSun" w:eastAsia="SimSun"/>
          <w:color w:val="000000"/>
          <w:sz w:val="20"/>
        </w:rPr>
        <w:t xml:space="preserve"> ℃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. The stock solutions of oil</w:t>
      </w:r>
    </w:p>
    <w:p>
      <w:pPr>
        <w:autoSpaceDN w:val="0"/>
        <w:autoSpaceDE w:val="0"/>
        <w:widowControl/>
        <w:spacing w:line="190" w:lineRule="exact" w:before="3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extract and L-ascorbic acid (positive control), each at a concentration of 2000 µg/mL,</w:t>
      </w:r>
    </w:p>
    <w:p>
      <w:pPr>
        <w:autoSpaceDN w:val="0"/>
        <w:autoSpaceDE w:val="0"/>
        <w:widowControl/>
        <w:spacing w:line="190" w:lineRule="exact" w:before="92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were prepared by dissolving 100 mg of each substance in 50 mL of methanol (for oil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extract) and PBS (for L-ascorbic acid). From each stock solution five working concentra­</w:t>
      </w:r>
    </w:p>
    <w:p>
      <w:pPr>
        <w:autoSpaceDN w:val="0"/>
        <w:autoSpaceDE w:val="0"/>
        <w:widowControl/>
        <w:spacing w:line="190" w:lineRule="exact" w:before="3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tions (62.5, 125, 250, 500, and 1000 µg/mL) were obtained through serial two-fold dilu­</w:t>
      </w:r>
    </w:p>
    <w:p>
      <w:pPr>
        <w:autoSpaceDN w:val="0"/>
        <w:autoSpaceDE w:val="0"/>
        <w:widowControl/>
        <w:spacing w:line="188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tion using methanol for oil extract and PBS for L-ascorbic acid. For the assay, 100 µL</w:t>
      </w:r>
    </w:p>
    <w:p>
      <w:pPr>
        <w:autoSpaceDN w:val="0"/>
        <w:autoSpaceDE w:val="0"/>
        <w:widowControl/>
        <w:spacing w:line="186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from each concentration of oil extract and ascorbic acid were mixed separately with 600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µL of the H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2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2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solution. The mixtures were incubated for 30 min at 25</w:t>
      </w:r>
      <w:r>
        <w:rPr>
          <w:spacing w:val="-10"/>
          <w:w w:val="98.00000190734863"/>
          <w:rFonts w:ascii="SimSun" w:hAnsi="SimSun" w:eastAsia="SimSun"/>
          <w:color w:val="000000"/>
          <w:sz w:val="20"/>
        </w:rPr>
        <w:t xml:space="preserve"> ℃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 the dark.</w:t>
      </w:r>
    </w:p>
    <w:p>
      <w:pPr>
        <w:autoSpaceDN w:val="0"/>
        <w:autoSpaceDE w:val="0"/>
        <w:widowControl/>
        <w:spacing w:line="188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 blank solution was prepared by mixing 100 µL PBS and 600 µL of the H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2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2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solution,</w:t>
      </w:r>
    </w:p>
    <w:p>
      <w:pPr>
        <w:autoSpaceDN w:val="0"/>
        <w:autoSpaceDE w:val="0"/>
        <w:widowControl/>
        <w:spacing w:line="290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incubated for 30 min at 25</w:t>
      </w:r>
      <w:r>
        <w:rPr>
          <w:spacing w:val="-10"/>
          <w:w w:val="98.00000190734863"/>
          <w:rFonts w:ascii="SimSun" w:hAnsi="SimSun" w:eastAsia="SimSun"/>
          <w:color w:val="000000"/>
          <w:sz w:val="20"/>
        </w:rPr>
        <w:t xml:space="preserve"> ℃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 the dark. The absorbance of oil extract, ascorbic acid</w:t>
      </w:r>
    </w:p>
    <w:p>
      <w:pPr>
        <w:autoSpaceDN w:val="0"/>
        <w:autoSpaceDE w:val="0"/>
        <w:widowControl/>
        <w:spacing w:line="190" w:lineRule="exact" w:before="3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blank were measured at 230 nm by using a UV-VIS spectrophotometer (210 PLUS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−223F1376). The experiments were performed in triplicate. The average absorbance val­</w:t>
      </w:r>
    </w:p>
    <w:p>
      <w:pPr>
        <w:autoSpaceDN w:val="0"/>
        <w:autoSpaceDE w:val="0"/>
        <w:widowControl/>
        <w:spacing w:line="292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ues were used for analysis. The percentage inhibition of hydrogen peroxide scavenging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activity was calculated using Eq.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88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. The half-maximal inhibitory concentration (IC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50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 was</w:t>
      </w:r>
    </w:p>
    <w:p>
      <w:pPr>
        <w:autoSpaceDN w:val="0"/>
        <w:autoSpaceDE w:val="0"/>
        <w:widowControl/>
        <w:spacing w:line="186" w:lineRule="exact" w:before="4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determined from a plot of percent inhibition against concentration.</w:t>
      </w:r>
    </w:p>
    <w:p>
      <w:pPr>
        <w:autoSpaceDN w:val="0"/>
        <w:tabs>
          <w:tab w:pos="9086" w:val="left"/>
        </w:tabs>
        <w:autoSpaceDE w:val="0"/>
        <w:widowControl/>
        <w:spacing w:line="182" w:lineRule="exact" w:before="356" w:after="0"/>
        <w:ind w:left="2512" w:right="0" w:firstLine="0"/>
        <w:jc w:val="left"/>
      </w:pPr>
      <w:r>
        <w:rPr>
          <w:spacing w:val="-10"/>
          <w:rFonts w:ascii="SFRM1000" w:hAnsi="SFRM1000" w:eastAsia="SFRM1000"/>
          <w:color w:val="000000"/>
          <w:sz w:val="20"/>
        </w:rPr>
        <w:t>d</w:t>
      </w:r>
      <w:r>
        <w:rPr>
          <w:spacing w:val="-10"/>
          <w:w w:val="97.63285773141044"/>
          <w:rFonts w:ascii="LMRoman7" w:hAnsi="LMRoman7" w:eastAsia="LMRoman7"/>
          <w:color w:val="000000"/>
          <w:sz w:val="14"/>
        </w:rPr>
        <w:t>i</w:t>
      </w:r>
      <w:r>
        <w:rPr>
          <w:spacing w:val="-10"/>
          <w:rFonts w:ascii="SFRM1000" w:hAnsi="SFRM1000" w:eastAsia="SFRM1000"/>
          <w:color w:val="000000"/>
          <w:sz w:val="20"/>
        </w:rPr>
        <w:t>s</w:t>
      </w:r>
      <w:r>
        <w:rPr>
          <w:spacing w:val="-10"/>
          <w:w w:val="97.63285773141044"/>
          <w:rFonts w:ascii="LMRoman7" w:hAnsi="LMRoman7" w:eastAsia="LMRoman7"/>
          <w:color w:val="000000"/>
          <w:sz w:val="14"/>
        </w:rPr>
        <w:t>p</w:t>
      </w:r>
      <w:r>
        <w:rPr>
          <w:spacing w:val="-10"/>
          <w:w w:val="97.63400077819824"/>
          <w:rFonts w:ascii="LMRoman10" w:hAnsi="LMRoman10" w:eastAsia="LMRoman10"/>
          <w:color w:val="000000"/>
          <w:sz w:val="20"/>
        </w:rPr>
        <w:t>l</w:t>
      </w:r>
      <w:r>
        <w:rPr>
          <w:spacing w:val="-10"/>
          <w:rFonts w:ascii="SFRM1000" w:hAnsi="SFRM1000" w:eastAsia="SFRM1000"/>
          <w:color w:val="000000"/>
          <w:sz w:val="20"/>
        </w:rPr>
        <w:t xml:space="preserve"> ay-eq-Equ2 </w:t>
      </w:r>
      <w:r>
        <w:tab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(2)</w:t>
      </w:r>
    </w:p>
    <w:p>
      <w:pPr>
        <w:autoSpaceDN w:val="0"/>
        <w:autoSpaceDE w:val="0"/>
        <w:widowControl/>
        <w:spacing w:line="170" w:lineRule="exact" w:before="53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2.13 12 Statistical analysis</w:t>
      </w:r>
    </w:p>
    <w:p>
      <w:pPr>
        <w:autoSpaceDN w:val="0"/>
        <w:autoSpaceDE w:val="0"/>
        <w:widowControl/>
        <w:spacing w:line="290" w:lineRule="exact" w:before="5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results were reported as mean±standard error of the mean (SEM), and the sig­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nificance level was defined accordingly. To determine the statistical significance of the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findings, a one-factor analysis of variance (ANOVA) test was conducted, followed by a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Tukey test at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 xml:space="preserve"> p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=0.05. Groups with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 xml:space="preserve"> p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-values≤0.05 were considered statistically different.</w:t>
      </w:r>
    </w:p>
    <w:p>
      <w:pPr>
        <w:autoSpaceDN w:val="0"/>
        <w:autoSpaceDE w:val="0"/>
        <w:widowControl/>
        <w:spacing w:line="190" w:lineRule="exact" w:before="38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Statistical analysis was performed by using Origin-Pro (version 2019b, 9.65) software.</w:t>
      </w:r>
    </w:p>
    <w:p>
      <w:pPr>
        <w:autoSpaceDN w:val="0"/>
        <w:autoSpaceDE w:val="0"/>
        <w:widowControl/>
        <w:spacing w:line="150" w:lineRule="exact" w:before="370" w:after="0"/>
        <w:ind w:left="2112" w:right="0" w:firstLine="0"/>
        <w:jc w:val="left"/>
      </w:pPr>
      <w:r>
        <w:rPr>
          <w:spacing w:val="-10"/>
          <w:w w:val="98.0952399117606"/>
          <w:rFonts w:ascii="MyriadPro" w:hAnsi="MyriadPro" w:eastAsia="MyriadPro"/>
          <w:b/>
          <w:color w:val="000000"/>
          <w:sz w:val="21"/>
        </w:rPr>
        <w:t>3 Results</w:t>
      </w:r>
    </w:p>
    <w:p>
      <w:pPr>
        <w:autoSpaceDN w:val="0"/>
        <w:autoSpaceDE w:val="0"/>
        <w:widowControl/>
        <w:spacing w:line="170" w:lineRule="exact" w:before="150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3.1 Preliminary phytochemical constituents</w:t>
      </w:r>
    </w:p>
    <w:p>
      <w:pPr>
        <w:autoSpaceDN w:val="0"/>
        <w:autoSpaceDE w:val="0"/>
        <w:widowControl/>
        <w:spacing w:line="188" w:lineRule="exact" w:before="10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Phytochemical screening of Oyster nut oil extract unveiled the presence of two classes</w:t>
      </w:r>
    </w:p>
    <w:p>
      <w:pPr>
        <w:autoSpaceDN w:val="0"/>
        <w:autoSpaceDE w:val="0"/>
        <w:widowControl/>
        <w:spacing w:line="290" w:lineRule="exact" w:before="48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of secondary metabolites, the terpenes and saponins, out of five classes tested (Table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89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).</w:t>
      </w:r>
    </w:p>
    <w:p>
      <w:pPr>
        <w:autoSpaceDN w:val="0"/>
        <w:autoSpaceDE w:val="0"/>
        <w:widowControl/>
        <w:spacing w:line="170" w:lineRule="exact" w:before="450" w:after="4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8"/>
          <w:u w:val="single"/>
        </w:rPr>
        <w:t>Table 1</w:t>
      </w:r>
      <w:r>
        <w:rPr>
          <w:spacing w:val="-10"/>
          <w:rFonts w:ascii="MyriadPro" w:hAnsi="MyriadPro" w:eastAsia="MyriadPro"/>
          <w:color w:val="000000"/>
          <w:sz w:val="18"/>
          <w:u w:val="single"/>
        </w:rPr>
        <w:t xml:space="preserve"> Classes of secondary metabolites present in </w:t>
      </w:r>
      <w:r>
        <w:rPr>
          <w:spacing w:val="-10"/>
          <w:rFonts w:ascii="MyriadPro" w:hAnsi="MyriadPro" w:eastAsia="MyriadPro"/>
          <w:color w:val="000000"/>
          <w:sz w:val="18"/>
          <w:u w:val="single"/>
        </w:rPr>
        <w:t>Oyster nut oil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3720" w:type="dxa"/>
        <w:gridCol w:w="2840" w:type="dxa"/>
        <w:gridCol w:w="2700" w:type="dxa"/>
      </w:tblGrid>
      <w:tr>
        <w:trPr>
          <w:trHeight w:hRule="exact" w:val="224"/>
        </w:trPr>
        <w:tc>
          <w:tcPr>
            <w:tcW w:type="dxa" w:w="3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4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Phytochemical Tested</w:t>
            </w:r>
          </w:p>
        </w:tc>
        <w:tc>
          <w:tcPr>
            <w:tcW w:type="dxa" w:w="28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2" w:lineRule="exact" w:before="44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Present</w:t>
            </w:r>
          </w:p>
        </w:tc>
        <w:tc>
          <w:tcPr>
            <w:tcW w:type="dxa" w:w="27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16" w:lineRule="exact" w:before="40" w:after="0"/>
              <w:ind w:left="0" w:right="0" w:firstLine="0"/>
              <w:jc w:val="center"/>
            </w:pPr>
            <w:r>
              <w:rPr>
                <w:spacing w:val="-10"/>
                <w:rFonts w:ascii="MyriadPro" w:hAnsi="MyriadPro" w:eastAsia="MyriadPro"/>
                <w:b/>
                <w:color w:val="000000"/>
                <w:sz w:val="16"/>
              </w:rPr>
              <w:t>Absent</w:t>
            </w:r>
          </w:p>
        </w:tc>
      </w:tr>
    </w:tbl>
    <w:p>
      <w:pPr>
        <w:autoSpaceDN w:val="0"/>
        <w:tabs>
          <w:tab w:pos="8750" w:val="left"/>
        </w:tabs>
        <w:autoSpaceDE w:val="0"/>
        <w:widowControl/>
        <w:spacing w:line="146" w:lineRule="exact" w:before="4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>Alkaloids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√</w:t>
      </w:r>
    </w:p>
    <w:p>
      <w:pPr>
        <w:autoSpaceDN w:val="0"/>
        <w:tabs>
          <w:tab w:pos="5942" w:val="left"/>
        </w:tabs>
        <w:autoSpaceDE w:val="0"/>
        <w:widowControl/>
        <w:spacing w:line="164" w:lineRule="exact" w:before="62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>Terpenes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√</w:t>
      </w:r>
    </w:p>
    <w:p>
      <w:pPr>
        <w:autoSpaceDN w:val="0"/>
        <w:tabs>
          <w:tab w:pos="8750" w:val="left"/>
        </w:tabs>
        <w:autoSpaceDE w:val="0"/>
        <w:widowControl/>
        <w:spacing w:line="162" w:lineRule="exact" w:before="52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>Anthraquinones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√</w:t>
      </w:r>
    </w:p>
    <w:p>
      <w:pPr>
        <w:autoSpaceDN w:val="0"/>
        <w:tabs>
          <w:tab w:pos="5942" w:val="left"/>
        </w:tabs>
        <w:autoSpaceDE w:val="0"/>
        <w:widowControl/>
        <w:spacing w:line="162" w:lineRule="exact" w:before="52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>Saponins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√</w:t>
      </w:r>
    </w:p>
    <w:p>
      <w:pPr>
        <w:autoSpaceDN w:val="0"/>
        <w:tabs>
          <w:tab w:pos="8750" w:val="left"/>
        </w:tabs>
        <w:autoSpaceDE w:val="0"/>
        <w:widowControl/>
        <w:spacing w:line="148" w:lineRule="exact" w:before="38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>Flavonoids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√</w:t>
      </w:r>
    </w:p>
    <w:p>
      <w:pPr>
        <w:sectPr>
          <w:pgSz w:w="11906" w:h="15874"/>
          <w:pgMar w:top="240" w:right="240" w:bottom="118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1619250</wp:posOffset>
            </wp:positionH>
            <wp:positionV relativeFrom="page">
              <wp:posOffset>7505700</wp:posOffset>
            </wp:positionV>
            <wp:extent cx="4324350" cy="16002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02"/>
                    <a:stretch>
                      <a:fillRect/>
                    </a:stretch>
                  </pic:blipFill>
                  <pic:spPr>
                    <a:xfrm>
                      <a:off x="0" y="0"/>
                      <a:ext cx="4324350" cy="160020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20" w:type="dxa"/>
        <w:gridCol w:w="3800" w:type="dxa"/>
        <w:gridCol w:w="4000" w:type="dxa"/>
      </w:tblGrid>
      <w:tr>
        <w:trPr>
          <w:trHeight w:hRule="exact" w:val="210"/>
        </w:trPr>
        <w:tc>
          <w:tcPr>
            <w:tcW w:type="dxa" w:w="2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Shayo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et al. Discover Chemistry</w:t>
            </w:r>
          </w:p>
        </w:tc>
        <w:tc>
          <w:tcPr>
            <w:tcW w:type="dxa" w:w="38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4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3:378</w:t>
            </w:r>
          </w:p>
        </w:tc>
        <w:tc>
          <w:tcPr>
            <w:tcW w:type="dxa" w:w="40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7 of 15</w:t>
            </w:r>
          </w:p>
        </w:tc>
      </w:tr>
    </w:tbl>
    <w:p>
      <w:pPr>
        <w:autoSpaceDN w:val="0"/>
        <w:autoSpaceDE w:val="0"/>
        <w:widowControl/>
        <w:spacing w:line="170" w:lineRule="exact" w:before="77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3.2 Phytochemical constituents by GC-MS analysis</w:t>
      </w:r>
    </w:p>
    <w:p>
      <w:pPr>
        <w:autoSpaceDN w:val="0"/>
        <w:autoSpaceDE w:val="0"/>
        <w:widowControl/>
        <w:spacing w:line="292" w:lineRule="exact" w:before="5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gas chromatogram and mass spectra of Oyster nut oil showed the presence of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seven phytochemical compounds that could be the reason of medicinal proper­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ties of the Oyster nut oil (Figs.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96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and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97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). The first compound to be identified was</w:t>
      </w:r>
    </w:p>
    <w:p>
      <w:pPr>
        <w:autoSpaceDN w:val="0"/>
        <w:autoSpaceDE w:val="0"/>
        <w:widowControl/>
        <w:spacing w:line="188" w:lineRule="exact" w:before="38" w:after="48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1-Isopropylidene-4-methyl-cyclohexane which took the retention time of 3.728 and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1600" w:type="dxa"/>
        <w:gridCol w:w="1980" w:type="dxa"/>
        <w:gridCol w:w="5740" w:type="dxa"/>
      </w:tblGrid>
      <w:tr>
        <w:trPr>
          <w:trHeight w:hRule="exact" w:val="280"/>
        </w:trPr>
        <w:tc>
          <w:tcPr>
            <w:tcW w:type="dxa" w:w="16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2" w:lineRule="exact" w:before="48" w:after="0"/>
              <w:ind w:left="0" w:right="158" w:firstLine="0"/>
              <w:jc w:val="right"/>
            </w:pPr>
            <w:r>
              <w:rPr>
                <w:spacing w:val="-10"/>
                <w:w w:val="98.00000190734863"/>
                <w:rFonts w:ascii="WarnockPro" w:hAnsi="WarnockPro" w:eastAsia="WarnockPro"/>
                <w:color w:val="000000"/>
                <w:sz w:val="20"/>
              </w:rPr>
              <w:t>then</w:t>
            </w:r>
          </w:p>
        </w:tc>
        <w:tc>
          <w:tcPr>
            <w:tcW w:type="dxa" w:w="19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6" w:lineRule="exact" w:before="48" w:after="0"/>
              <w:ind w:left="0" w:right="0" w:firstLine="0"/>
              <w:jc w:val="center"/>
            </w:pPr>
            <w:r>
              <w:rPr>
                <w:spacing w:val="-10"/>
                <w:w w:val="98.00000190734863"/>
                <w:rFonts w:ascii="WarnockPro" w:hAnsi="WarnockPro" w:eastAsia="WarnockPro"/>
                <w:color w:val="000000"/>
                <w:sz w:val="20"/>
              </w:rPr>
              <w:t>Oct-5-en-2-yn-4-ol,</w:t>
            </w:r>
          </w:p>
        </w:tc>
        <w:tc>
          <w:tcPr>
            <w:tcW w:type="dxa" w:w="57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6" w:lineRule="exact" w:before="48" w:after="0"/>
              <w:ind w:left="186" w:right="0" w:firstLine="0"/>
              <w:jc w:val="left"/>
            </w:pPr>
            <w:r>
              <w:rPr>
                <w:spacing w:val="-10"/>
                <w:w w:val="98.00000190734863"/>
                <w:rFonts w:ascii="WarnockPro" w:hAnsi="WarnockPro" w:eastAsia="WarnockPro"/>
                <w:color w:val="000000"/>
                <w:sz w:val="20"/>
              </w:rPr>
              <w:t>3,7,11,15-Tetramethyl-hexadeca-2,6,10,14-tetraen-1-ol,</w:t>
            </w:r>
          </w:p>
        </w:tc>
      </w:tr>
    </w:tbl>
    <w:p>
      <w:pPr>
        <w:autoSpaceDN w:val="0"/>
        <w:autoSpaceDE w:val="0"/>
        <w:widowControl/>
        <w:spacing w:line="190" w:lineRule="exact" w:before="48" w:after="48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5-Allyl-1,2,3-trimethoxy-benzene (elemicin), 4-Allyl-2,6-dimethoxy-phenol, 4-Hydroxy-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3680" w:type="dxa"/>
        <w:gridCol w:w="1180" w:type="dxa"/>
        <w:gridCol w:w="4460" w:type="dxa"/>
      </w:tblGrid>
      <w:tr>
        <w:trPr>
          <w:trHeight w:hRule="exact" w:val="260"/>
        </w:trPr>
        <w:tc>
          <w:tcPr>
            <w:tcW w:type="dxa" w:w="3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6" w:lineRule="exact" w:before="48" w:after="0"/>
              <w:ind w:left="0" w:right="232" w:firstLine="0"/>
              <w:jc w:val="right"/>
            </w:pPr>
            <w:r>
              <w:rPr>
                <w:spacing w:val="-10"/>
                <w:w w:val="98.00000190734863"/>
                <w:rFonts w:ascii="WarnockPro" w:hAnsi="WarnockPro" w:eastAsia="WarnockPro"/>
                <w:color w:val="000000"/>
                <w:sz w:val="20"/>
              </w:rPr>
              <w:t>3,5-dimethoxy-benzaldehyde</w:t>
            </w:r>
          </w:p>
        </w:tc>
        <w:tc>
          <w:tcPr>
            <w:tcW w:type="dxa" w:w="11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6" w:lineRule="exact" w:before="48" w:after="0"/>
              <w:ind w:left="0" w:right="0" w:firstLine="0"/>
              <w:jc w:val="center"/>
            </w:pPr>
            <w:r>
              <w:rPr>
                <w:spacing w:val="-10"/>
                <w:w w:val="98.00000190734863"/>
                <w:rFonts w:ascii="WarnockPro" w:hAnsi="WarnockPro" w:eastAsia="WarnockPro"/>
                <w:color w:val="000000"/>
                <w:sz w:val="20"/>
              </w:rPr>
              <w:t>whereby</w:t>
            </w:r>
          </w:p>
        </w:tc>
        <w:tc>
          <w:tcPr>
            <w:tcW w:type="dxa" w:w="44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6" w:lineRule="exact" w:before="48" w:after="0"/>
              <w:ind w:left="258" w:right="0" w:firstLine="0"/>
              <w:jc w:val="left"/>
            </w:pPr>
            <w:r>
              <w:rPr>
                <w:spacing w:val="-10"/>
                <w:w w:val="98.00000190734863"/>
                <w:rFonts w:ascii="WarnockPro" w:hAnsi="WarnockPro" w:eastAsia="WarnockPro"/>
                <w:color w:val="000000"/>
                <w:sz w:val="20"/>
              </w:rPr>
              <w:t>2,6,10,15,19,23-Hexamethyl-tetracosa-</w:t>
            </w:r>
          </w:p>
        </w:tc>
      </w:tr>
    </w:tbl>
    <w:p>
      <w:pPr>
        <w:autoSpaceDN w:val="0"/>
        <w:autoSpaceDE w:val="0"/>
        <w:widowControl/>
        <w:spacing w:line="290" w:lineRule="exact" w:before="2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2,6,10,14,18,22-hexaene (squalene) was th</w:t>
      </w:r>
      <w:hyperlink r:id="rId98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 xml:space="preserve">e 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last compound to be identified which took</w:t>
      </w:r>
    </w:p>
    <w:p>
      <w:pPr>
        <w:autoSpaceDN w:val="0"/>
        <w:autoSpaceDE w:val="0"/>
        <w:widowControl/>
        <w:spacing w:line="188" w:lineRule="exact" w:before="38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longest retention time of 20.274 (Table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98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).</w:t>
      </w:r>
    </w:p>
    <w:p>
      <w:pPr>
        <w:autoSpaceDN w:val="0"/>
        <w:autoSpaceDE w:val="0"/>
        <w:widowControl/>
        <w:spacing w:line="172" w:lineRule="exact" w:before="38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3.3 Fatty acid composition</w:t>
      </w:r>
    </w:p>
    <w:p>
      <w:pPr>
        <w:autoSpaceDN w:val="0"/>
        <w:autoSpaceDE w:val="0"/>
        <w:widowControl/>
        <w:spacing w:line="284" w:lineRule="exact" w:before="62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The fatty acid profile of Oyster nut oil revealed a high proportion of unsaturated fatty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acids (54.7%) relative to saturated fatty acids (45.3%). The unsaturated fatty acids were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linoleic acid, linolenic acid and oleic acid, while the saturated fatty acids were palmitic</w:t>
      </w:r>
    </w:p>
    <w:p>
      <w:pPr>
        <w:autoSpaceDN w:val="0"/>
        <w:autoSpaceDE w:val="0"/>
        <w:widowControl/>
        <w:spacing w:line="186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acid and stearic acid. Among these, linoleic acid was the most abundant component,</w:t>
      </w:r>
    </w:p>
    <w:p>
      <w:pPr>
        <w:autoSpaceDN w:val="0"/>
        <w:autoSpaceDE w:val="0"/>
        <w:widowControl/>
        <w:spacing w:line="188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followe</w:t>
      </w:r>
      <w:hyperlink r:id="rId99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d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by palmitic acid, while linolenic acid was present in the lowest concentration</w:t>
      </w:r>
    </w:p>
    <w:p>
      <w:pPr>
        <w:autoSpaceDN w:val="0"/>
        <w:autoSpaceDE w:val="0"/>
        <w:widowControl/>
        <w:spacing w:line="176" w:lineRule="exact" w:before="94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(Table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99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).</w:t>
      </w:r>
    </w:p>
    <w:p>
      <w:pPr>
        <w:autoSpaceDN w:val="0"/>
        <w:autoSpaceDE w:val="0"/>
        <w:widowControl/>
        <w:spacing w:line="134" w:lineRule="exact" w:before="400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3.4 Antioxidant activities</w:t>
      </w:r>
    </w:p>
    <w:p>
      <w:pPr>
        <w:autoSpaceDN w:val="0"/>
        <w:autoSpaceDE w:val="0"/>
        <w:widowControl/>
        <w:spacing w:line="170" w:lineRule="exact" w:before="14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i/>
          <w:color w:val="000000"/>
          <w:sz w:val="18"/>
        </w:rPr>
        <w:t>3.4.1 DPPH free radical scavenging activities</w:t>
      </w:r>
    </w:p>
    <w:p>
      <w:pPr>
        <w:autoSpaceDN w:val="0"/>
        <w:autoSpaceDE w:val="0"/>
        <w:widowControl/>
        <w:spacing w:line="282" w:lineRule="exact" w:before="68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The antioxidant activity of the Oyster nut oil was determined by using the DPPH free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radical scavenging activity. The results show Oyster nut oil has antioxidant activities as</w:t>
      </w:r>
    </w:p>
    <w:p>
      <w:pPr>
        <w:autoSpaceDN w:val="0"/>
        <w:autoSpaceDE w:val="0"/>
        <w:widowControl/>
        <w:spacing w:line="226" w:lineRule="exact" w:before="66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revealed by its ability to scavenge DPPH free radicals (Table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10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). The extract exhibited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 concentration dependent scaveng</w:t>
      </w:r>
      <w:hyperlink r:id="rId100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i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ng activities, with the higher concentration having</w:t>
      </w:r>
    </w:p>
    <w:p>
      <w:pPr>
        <w:autoSpaceDN w:val="0"/>
        <w:autoSpaceDE w:val="0"/>
        <w:widowControl/>
        <w:spacing w:line="188" w:lineRule="exact" w:before="9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more activity than the lower (Table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10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). Comparison of the percentage scavenging activi­</w:t>
      </w:r>
    </w:p>
    <w:p>
      <w:pPr>
        <w:autoSpaceDN w:val="0"/>
        <w:autoSpaceDE w:val="0"/>
        <w:widowControl/>
        <w:spacing w:line="284" w:lineRule="exact" w:before="56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ties indicated a significant difference in activities between all tested concentrations (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p</w:t>
      </w:r>
      <w:r>
        <w:br/>
      </w:r>
      <w:r>
        <w:rPr>
          <w:spacing w:val="-10"/>
          <w:w w:val="98.00000190734863"/>
          <w:rFonts w:ascii="STIX" w:hAnsi="STIX" w:eastAsia="STIX"/>
          <w:color w:val="000000"/>
          <w:sz w:val="20"/>
        </w:rPr>
        <w:t>˂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0.05). The same was observed for the ascorbic acid (positive control); however, it had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higher activities than the oil (Table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10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). The concentration required to scavenge 50% of</w:t>
      </w:r>
    </w:p>
    <w:p>
      <w:pPr>
        <w:autoSpaceDN w:val="0"/>
        <w:autoSpaceDE w:val="0"/>
        <w:widowControl/>
        <w:spacing w:line="192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DPPH free radicals (IC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50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 of th</w:t>
      </w:r>
      <w:hyperlink r:id="rId100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e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oil was found to be 12.99 µg/mL, higher than that of</w:t>
      </w:r>
    </w:p>
    <w:p>
      <w:pPr>
        <w:autoSpaceDN w:val="0"/>
        <w:autoSpaceDE w:val="0"/>
        <w:widowControl/>
        <w:spacing w:line="190" w:lineRule="exact" w:before="9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ascorbic acid, 11.39 µg/mL (Table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10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).</w:t>
      </w:r>
    </w:p>
    <w:p>
      <w:pPr>
        <w:autoSpaceDN w:val="0"/>
        <w:autoSpaceDE w:val="0"/>
        <w:widowControl/>
        <w:spacing w:line="172" w:lineRule="exact" w:before="38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i/>
          <w:color w:val="000000"/>
          <w:sz w:val="18"/>
        </w:rPr>
        <w:t>3.4.2 Hydrogen peroxide scavenging activities</w:t>
      </w:r>
    </w:p>
    <w:p>
      <w:pPr>
        <w:autoSpaceDN w:val="0"/>
        <w:autoSpaceDE w:val="0"/>
        <w:widowControl/>
        <w:spacing w:line="282" w:lineRule="exact" w:before="64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Oyster nut oil extract exhibited a concentration-dependent hydrogen peroxide scav­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enging activity (Table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101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). The scavenging activities were significantly different between</w:t>
      </w:r>
    </w:p>
    <w:p>
      <w:pPr>
        <w:autoSpaceDN w:val="0"/>
        <w:autoSpaceDE w:val="0"/>
        <w:widowControl/>
        <w:spacing w:line="152" w:lineRule="exact" w:before="3034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6"/>
        </w:rPr>
        <w:t>Fig. 2</w:t>
      </w:r>
      <w:r>
        <w:rPr>
          <w:spacing w:val="-10"/>
          <w:rFonts w:ascii="MyriadPro" w:hAnsi="MyriadPro" w:eastAsia="MyriadPro"/>
          <w:color w:val="000000"/>
          <w:sz w:val="16"/>
        </w:rPr>
        <w:t xml:space="preserve"> GC-MS chromatogram of Oyster nut oil extract</w:t>
      </w:r>
    </w:p>
    <w:p>
      <w:pPr>
        <w:sectPr>
          <w:pgSz w:w="11906" w:h="15874"/>
          <w:pgMar w:top="240" w:right="240" w:bottom="114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1993900</wp:posOffset>
            </wp:positionH>
            <wp:positionV relativeFrom="page">
              <wp:posOffset>1060450</wp:posOffset>
            </wp:positionV>
            <wp:extent cx="3568700" cy="713740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03"/>
                    <a:stretch>
                      <a:fillRect/>
                    </a:stretch>
                  </pic:blipFill>
                  <pic:spPr>
                    <a:xfrm>
                      <a:off x="0" y="0"/>
                      <a:ext cx="3568700" cy="713740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20" w:type="dxa"/>
        <w:gridCol w:w="3800" w:type="dxa"/>
        <w:gridCol w:w="4000" w:type="dxa"/>
      </w:tblGrid>
      <w:tr>
        <w:trPr>
          <w:trHeight w:hRule="exact" w:val="210"/>
        </w:trPr>
        <w:tc>
          <w:tcPr>
            <w:tcW w:type="dxa" w:w="2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Shayo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et al. Discover Chemistry</w:t>
            </w:r>
          </w:p>
        </w:tc>
        <w:tc>
          <w:tcPr>
            <w:tcW w:type="dxa" w:w="38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4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3:378</w:t>
            </w:r>
          </w:p>
        </w:tc>
        <w:tc>
          <w:tcPr>
            <w:tcW w:type="dxa" w:w="40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8 of 15</w:t>
            </w:r>
          </w:p>
        </w:tc>
      </w:tr>
    </w:tbl>
    <w:p>
      <w:pPr>
        <w:autoSpaceDN w:val="0"/>
        <w:autoSpaceDE w:val="0"/>
        <w:widowControl/>
        <w:spacing w:line="150" w:lineRule="exact" w:before="12242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6"/>
        </w:rPr>
        <w:t>Fig. 3</w:t>
      </w:r>
      <w:r>
        <w:rPr>
          <w:spacing w:val="-10"/>
          <w:rFonts w:ascii="MyriadPro" w:hAnsi="MyriadPro" w:eastAsia="MyriadPro"/>
          <w:color w:val="000000"/>
          <w:sz w:val="16"/>
        </w:rPr>
        <w:t xml:space="preserve"> Mass Spectra of Oyster nut oil</w:t>
      </w:r>
    </w:p>
    <w:p>
      <w:pPr>
        <w:sectPr>
          <w:pgSz w:w="11906" w:h="15874"/>
          <w:pgMar w:top="240" w:right="240" w:bottom="240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1619250</wp:posOffset>
            </wp:positionH>
            <wp:positionV relativeFrom="page">
              <wp:posOffset>1397000</wp:posOffset>
            </wp:positionV>
            <wp:extent cx="4324350" cy="51117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04"/>
                    <a:stretch>
                      <a:fillRect/>
                    </a:stretch>
                  </pic:blipFill>
                  <pic:spPr>
                    <a:xfrm>
                      <a:off x="0" y="0"/>
                      <a:ext cx="4324350" cy="511175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7131050</wp:posOffset>
            </wp:positionV>
            <wp:extent cx="3769359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05"/>
                    <a:stretch>
                      <a:fillRect/>
                    </a:stretch>
                  </pic:blipFill>
                  <pic:spPr>
                    <a:xfrm>
                      <a:off x="0" y="0"/>
                      <a:ext cx="3769359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5262880</wp:posOffset>
            </wp:positionH>
            <wp:positionV relativeFrom="page">
              <wp:posOffset>6982459</wp:posOffset>
            </wp:positionV>
            <wp:extent cx="80264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06"/>
                    <a:stretch>
                      <a:fillRect/>
                    </a:stretch>
                  </pic:blipFill>
                  <pic:spPr>
                    <a:xfrm>
                      <a:off x="0" y="0"/>
                      <a:ext cx="802640" cy="50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7872730</wp:posOffset>
            </wp:positionV>
            <wp:extent cx="457200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07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6982459</wp:posOffset>
            </wp:positionV>
            <wp:extent cx="3769359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08"/>
                    <a:stretch>
                      <a:fillRect/>
                    </a:stretch>
                  </pic:blipFill>
                  <pic:spPr>
                    <a:xfrm>
                      <a:off x="0" y="0"/>
                      <a:ext cx="3769359" cy="508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20" w:type="dxa"/>
        <w:gridCol w:w="3800" w:type="dxa"/>
        <w:gridCol w:w="4000" w:type="dxa"/>
      </w:tblGrid>
      <w:tr>
        <w:trPr>
          <w:trHeight w:hRule="exact" w:val="210"/>
        </w:trPr>
        <w:tc>
          <w:tcPr>
            <w:tcW w:type="dxa" w:w="2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Shayo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et al. Discover Chemistry</w:t>
            </w:r>
          </w:p>
        </w:tc>
        <w:tc>
          <w:tcPr>
            <w:tcW w:type="dxa" w:w="38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4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3:378</w:t>
            </w:r>
          </w:p>
        </w:tc>
        <w:tc>
          <w:tcPr>
            <w:tcW w:type="dxa" w:w="40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9 of 15</w:t>
            </w:r>
          </w:p>
        </w:tc>
      </w:tr>
    </w:tbl>
    <w:p>
      <w:pPr>
        <w:autoSpaceDN w:val="0"/>
        <w:autoSpaceDE w:val="0"/>
        <w:widowControl/>
        <w:spacing w:line="170" w:lineRule="exact" w:before="832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8"/>
        </w:rPr>
        <w:t>Table 2</w:t>
      </w:r>
      <w:r>
        <w:rPr>
          <w:spacing w:val="-10"/>
          <w:rFonts w:ascii="MyriadPro" w:hAnsi="MyriadPro" w:eastAsia="MyriadPro"/>
          <w:color w:val="000000"/>
          <w:sz w:val="18"/>
        </w:rPr>
        <w:t xml:space="preserve"> Phytochemical Compounds, Molecular Formula, Molecular Weight and Retention Time of</w:t>
      </w:r>
    </w:p>
    <w:p>
      <w:pPr>
        <w:autoSpaceDN w:val="0"/>
        <w:autoSpaceDE w:val="0"/>
        <w:widowControl/>
        <w:spacing w:line="168" w:lineRule="exact" w:before="52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8"/>
        </w:rPr>
        <w:t>Oyster nut oil</w:t>
      </w:r>
    </w:p>
    <w:p>
      <w:pPr>
        <w:autoSpaceDN w:val="0"/>
        <w:autoSpaceDE w:val="0"/>
        <w:widowControl/>
        <w:spacing w:line="170" w:lineRule="exact" w:before="8682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8"/>
        </w:rPr>
        <w:t>Table 3</w:t>
      </w:r>
      <w:r>
        <w:rPr>
          <w:spacing w:val="-10"/>
          <w:rFonts w:ascii="MyriadPro" w:hAnsi="MyriadPro" w:eastAsia="MyriadPro"/>
          <w:color w:val="000000"/>
          <w:sz w:val="18"/>
        </w:rPr>
        <w:t xml:space="preserve"> Fatty acids composition of Oyster nut oil</w:t>
      </w:r>
    </w:p>
    <w:p>
      <w:pPr>
        <w:autoSpaceDN w:val="0"/>
        <w:tabs>
          <w:tab w:pos="8048" w:val="left"/>
        </w:tabs>
        <w:autoSpaceDE w:val="0"/>
        <w:widowControl/>
        <w:spacing w:line="148" w:lineRule="exact" w:before="8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6"/>
        </w:rPr>
        <w:t xml:space="preserve">Fatty acids </w:t>
      </w:r>
      <w:r>
        <w:tab/>
      </w:r>
      <w:r>
        <w:rPr>
          <w:spacing w:val="-10"/>
          <w:rFonts w:ascii="MyriadPro" w:hAnsi="MyriadPro" w:eastAsia="MyriadPro"/>
          <w:b/>
          <w:color w:val="000000"/>
          <w:sz w:val="16"/>
          <w:u w:val="single"/>
        </w:rPr>
        <w:t>Composition (%)</w:t>
      </w:r>
    </w:p>
    <w:p>
      <w:pPr>
        <w:autoSpaceDN w:val="0"/>
        <w:tabs>
          <w:tab w:pos="8048" w:val="left"/>
        </w:tabs>
        <w:autoSpaceDE w:val="0"/>
        <w:widowControl/>
        <w:spacing w:line="116" w:lineRule="exact" w:before="86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Palmitic acid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32.4</w:t>
      </w:r>
    </w:p>
    <w:p>
      <w:pPr>
        <w:autoSpaceDN w:val="0"/>
        <w:tabs>
          <w:tab w:pos="8048" w:val="left"/>
        </w:tabs>
        <w:autoSpaceDE w:val="0"/>
        <w:widowControl/>
        <w:spacing w:line="116" w:lineRule="exact" w:before="118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Stearic acid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13.2</w:t>
      </w:r>
    </w:p>
    <w:p>
      <w:pPr>
        <w:autoSpaceDN w:val="0"/>
        <w:tabs>
          <w:tab w:pos="8048" w:val="left"/>
        </w:tabs>
        <w:autoSpaceDE w:val="0"/>
        <w:widowControl/>
        <w:spacing w:line="114" w:lineRule="exact" w:before="118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Linoleic acid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45.6</w:t>
      </w:r>
    </w:p>
    <w:p>
      <w:pPr>
        <w:autoSpaceDN w:val="0"/>
        <w:tabs>
          <w:tab w:pos="8048" w:val="left"/>
        </w:tabs>
        <w:autoSpaceDE w:val="0"/>
        <w:widowControl/>
        <w:spacing w:line="116" w:lineRule="exact" w:before="118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Linolenic acid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0.3</w:t>
      </w:r>
    </w:p>
    <w:p>
      <w:pPr>
        <w:autoSpaceDN w:val="0"/>
        <w:tabs>
          <w:tab w:pos="8048" w:val="left"/>
        </w:tabs>
        <w:autoSpaceDE w:val="0"/>
        <w:widowControl/>
        <w:spacing w:line="116" w:lineRule="exact" w:before="118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6"/>
        </w:rPr>
        <w:t xml:space="preserve">Oleic acid </w:t>
      </w:r>
      <w:r>
        <w:tab/>
      </w:r>
      <w:r>
        <w:rPr>
          <w:spacing w:val="-10"/>
          <w:rFonts w:ascii="MyriadPro" w:hAnsi="MyriadPro" w:eastAsia="MyriadPro"/>
          <w:color w:val="000000"/>
          <w:sz w:val="16"/>
        </w:rPr>
        <w:t>8.8</w:t>
      </w:r>
    </w:p>
    <w:p>
      <w:pPr>
        <w:sectPr>
          <w:pgSz w:w="11906" w:h="15874"/>
          <w:pgMar w:top="240" w:right="240" w:bottom="240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1518920</wp:posOffset>
            </wp:positionV>
            <wp:extent cx="457200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2407920</wp:posOffset>
            </wp:positionV>
            <wp:extent cx="457200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1221740</wp:posOffset>
            </wp:positionV>
            <wp:extent cx="457200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3657600</wp:posOffset>
            </wp:positionH>
            <wp:positionV relativeFrom="page">
              <wp:posOffset>1370330</wp:posOffset>
            </wp:positionV>
            <wp:extent cx="240792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11"/>
                    <a:stretch>
                      <a:fillRect/>
                    </a:stretch>
                  </pic:blipFill>
                  <pic:spPr>
                    <a:xfrm>
                      <a:off x="0" y="0"/>
                      <a:ext cx="240792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3395979</wp:posOffset>
            </wp:positionV>
            <wp:extent cx="457200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4286250</wp:posOffset>
            </wp:positionV>
            <wp:extent cx="4572000" cy="5079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79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1493520</wp:posOffset>
            </wp:positionH>
            <wp:positionV relativeFrom="page">
              <wp:posOffset>3098800</wp:posOffset>
            </wp:positionV>
            <wp:extent cx="457200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5080"/>
                    </a:xfrm>
                    <a:prstGeom prst="rect"/>
                  </pic:spPr>
                </pic:pic>
              </a:graphicData>
            </a:graphic>
          </wp:anchor>
        </w:drawing>
      </w: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3657600</wp:posOffset>
            </wp:positionH>
            <wp:positionV relativeFrom="page">
              <wp:posOffset>3247390</wp:posOffset>
            </wp:positionV>
            <wp:extent cx="2407920" cy="508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11"/>
                    <a:stretch>
                      <a:fillRect/>
                    </a:stretch>
                  </pic:blipFill>
                  <pic:spPr>
                    <a:xfrm>
                      <a:off x="0" y="0"/>
                      <a:ext cx="2407920" cy="508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20" w:type="dxa"/>
        <w:gridCol w:w="3760" w:type="dxa"/>
        <w:gridCol w:w="4040" w:type="dxa"/>
      </w:tblGrid>
      <w:tr>
        <w:trPr>
          <w:trHeight w:hRule="exact" w:val="210"/>
        </w:trPr>
        <w:tc>
          <w:tcPr>
            <w:tcW w:type="dxa" w:w="2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Shayo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et al. Discover Chemistry</w:t>
            </w:r>
          </w:p>
        </w:tc>
        <w:tc>
          <w:tcPr>
            <w:tcW w:type="dxa" w:w="37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4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3:378</w:t>
            </w:r>
          </w:p>
        </w:tc>
        <w:tc>
          <w:tcPr>
            <w:tcW w:type="dxa" w:w="40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10 of 15</w:t>
            </w:r>
          </w:p>
        </w:tc>
      </w:tr>
    </w:tbl>
    <w:p>
      <w:pPr>
        <w:autoSpaceDN w:val="0"/>
        <w:autoSpaceDE w:val="0"/>
        <w:widowControl/>
        <w:spacing w:line="170" w:lineRule="exact" w:before="832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8"/>
        </w:rPr>
        <w:t>Table 4</w:t>
      </w:r>
      <w:r>
        <w:rPr>
          <w:spacing w:val="-10"/>
          <w:rFonts w:ascii="MyriadPro" w:hAnsi="MyriadPro" w:eastAsia="MyriadPro"/>
          <w:color w:val="000000"/>
          <w:sz w:val="18"/>
        </w:rPr>
        <w:t xml:space="preserve"> The Percentage DPPH Free Radical Scavenging Activities of Oyster Nut Oil Extract</w:t>
      </w:r>
    </w:p>
    <w:p>
      <w:pPr>
        <w:autoSpaceDN w:val="0"/>
        <w:tabs>
          <w:tab w:pos="5520" w:val="left"/>
        </w:tabs>
        <w:autoSpaceDE w:val="0"/>
        <w:widowControl/>
        <w:spacing w:line="146" w:lineRule="exact" w:before="78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6"/>
        </w:rPr>
        <w:t xml:space="preserve">Concentration (µg/mL) </w:t>
      </w:r>
      <w:r>
        <w:tab/>
      </w:r>
      <w:r>
        <w:rPr>
          <w:spacing w:val="-10"/>
          <w:rFonts w:ascii="MyriadPro" w:hAnsi="MyriadPro" w:eastAsia="MyriadPro"/>
          <w:b/>
          <w:color w:val="000000"/>
          <w:sz w:val="16"/>
        </w:rPr>
        <w:t>Radical scavenging activities (%)</w:t>
      </w:r>
    </w:p>
    <w:p>
      <w:pPr>
        <w:autoSpaceDN w:val="0"/>
        <w:tabs>
          <w:tab w:pos="8288" w:val="left"/>
        </w:tabs>
        <w:autoSpaceDE w:val="0"/>
        <w:widowControl/>
        <w:spacing w:line="150" w:lineRule="exact" w:before="86" w:after="22"/>
        <w:ind w:left="5520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6"/>
        </w:rPr>
        <w:t xml:space="preserve">Oyster nut oil </w:t>
      </w:r>
      <w:r>
        <w:tab/>
      </w:r>
      <w:r>
        <w:rPr>
          <w:spacing w:val="-10"/>
          <w:rFonts w:ascii="MyriadPro" w:hAnsi="MyriadPro" w:eastAsia="MyriadPro"/>
          <w:b/>
          <w:color w:val="000000"/>
          <w:sz w:val="16"/>
        </w:rPr>
        <w:t>Ascorbic acid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900" w:type="dxa"/>
        <w:gridCol w:w="3360" w:type="dxa"/>
        <w:gridCol w:w="2920" w:type="dxa"/>
      </w:tblGrid>
      <w:tr>
        <w:trPr>
          <w:trHeight w:hRule="exact" w:val="224"/>
        </w:trPr>
        <w:tc>
          <w:tcPr>
            <w:tcW w:type="dxa" w:w="29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72" w:after="0"/>
              <w:ind w:left="0" w:right="156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62.5</w:t>
            </w:r>
          </w:p>
        </w:tc>
        <w:tc>
          <w:tcPr>
            <w:tcW w:type="dxa" w:w="33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2" w:lineRule="exact" w:before="58" w:after="0"/>
              <w:ind w:left="0" w:right="95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55.63±0.10</w:t>
            </w:r>
            <w:r>
              <w:rPr>
                <w:spacing w:val="-10"/>
                <w:w w:val="101.81818008422852"/>
                <w:rFonts w:ascii="MyriadPro" w:hAnsi="MyriadPro" w:eastAsia="MyriadPro"/>
                <w:color w:val="000000"/>
                <w:sz w:val="11"/>
              </w:rPr>
              <w:t>a</w:t>
            </w:r>
          </w:p>
        </w:tc>
        <w:tc>
          <w:tcPr>
            <w:tcW w:type="dxa" w:w="29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72" w:after="0"/>
              <w:ind w:left="0" w:right="119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95.59±0.02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880" w:type="dxa"/>
        <w:gridCol w:w="3400" w:type="dxa"/>
        <w:gridCol w:w="2900" w:type="dxa"/>
      </w:tblGrid>
      <w:tr>
        <w:trPr>
          <w:trHeight w:hRule="exact" w:val="244"/>
        </w:trPr>
        <w:tc>
          <w:tcPr>
            <w:tcW w:type="dxa" w:w="28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80" w:after="0"/>
              <w:ind w:left="0" w:right="157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125</w:t>
            </w:r>
          </w:p>
        </w:tc>
        <w:tc>
          <w:tcPr>
            <w:tcW w:type="dxa" w:w="34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4" w:lineRule="exact" w:before="44" w:after="0"/>
              <w:ind w:left="0" w:right="96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69.32±0.05</w:t>
            </w:r>
            <w:r>
              <w:rPr>
                <w:spacing w:val="-10"/>
                <w:w w:val="101.81818008422852"/>
                <w:rFonts w:ascii="MyriadPro" w:hAnsi="MyriadPro" w:eastAsia="MyriadPro"/>
                <w:color w:val="000000"/>
                <w:sz w:val="11"/>
              </w:rPr>
              <w:t>b</w:t>
            </w:r>
          </w:p>
        </w:tc>
        <w:tc>
          <w:tcPr>
            <w:tcW w:type="dxa" w:w="29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80" w:after="0"/>
              <w:ind w:left="0" w:right="119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95.58±0.02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880" w:type="dxa"/>
        <w:gridCol w:w="3380" w:type="dxa"/>
        <w:gridCol w:w="2920" w:type="dxa"/>
      </w:tblGrid>
      <w:tr>
        <w:trPr>
          <w:trHeight w:hRule="exact" w:val="222"/>
        </w:trPr>
        <w:tc>
          <w:tcPr>
            <w:tcW w:type="dxa" w:w="28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70" w:after="0"/>
              <w:ind w:left="0" w:right="157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250</w:t>
            </w:r>
          </w:p>
        </w:tc>
        <w:tc>
          <w:tcPr>
            <w:tcW w:type="dxa" w:w="33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0" w:lineRule="exact" w:before="58" w:after="0"/>
              <w:ind w:left="0" w:right="95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81.51±0.04</w:t>
            </w:r>
            <w:r>
              <w:rPr>
                <w:spacing w:val="-10"/>
                <w:w w:val="101.81818008422852"/>
                <w:rFonts w:ascii="MyriadPro" w:hAnsi="MyriadPro" w:eastAsia="MyriadPro"/>
                <w:color w:val="000000"/>
                <w:sz w:val="11"/>
              </w:rPr>
              <w:t>c</w:t>
            </w:r>
          </w:p>
        </w:tc>
        <w:tc>
          <w:tcPr>
            <w:tcW w:type="dxa" w:w="29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70" w:after="0"/>
              <w:ind w:left="0" w:right="119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95.82±0.01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880" w:type="dxa"/>
        <w:gridCol w:w="3400" w:type="dxa"/>
        <w:gridCol w:w="2900" w:type="dxa"/>
      </w:tblGrid>
      <w:tr>
        <w:trPr>
          <w:trHeight w:hRule="exact" w:val="246"/>
        </w:trPr>
        <w:tc>
          <w:tcPr>
            <w:tcW w:type="dxa" w:w="28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82" w:after="0"/>
              <w:ind w:left="0" w:right="157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500</w:t>
            </w:r>
          </w:p>
        </w:tc>
        <w:tc>
          <w:tcPr>
            <w:tcW w:type="dxa" w:w="34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6" w:lineRule="exact" w:before="44" w:after="0"/>
              <w:ind w:left="0" w:right="96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87.50±0.01</w:t>
            </w:r>
            <w:r>
              <w:rPr>
                <w:spacing w:val="-10"/>
                <w:w w:val="101.81818008422852"/>
                <w:rFonts w:ascii="MyriadPro" w:hAnsi="MyriadPro" w:eastAsia="MyriadPro"/>
                <w:color w:val="000000"/>
                <w:sz w:val="11"/>
              </w:rPr>
              <w:t>d</w:t>
            </w:r>
          </w:p>
        </w:tc>
        <w:tc>
          <w:tcPr>
            <w:tcW w:type="dxa" w:w="29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82" w:after="0"/>
              <w:ind w:left="0" w:right="119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95.95±0.02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920" w:type="dxa"/>
        <w:gridCol w:w="3340" w:type="dxa"/>
        <w:gridCol w:w="2920" w:type="dxa"/>
      </w:tblGrid>
      <w:tr>
        <w:trPr>
          <w:trHeight w:hRule="exact" w:val="236"/>
        </w:trPr>
        <w:tc>
          <w:tcPr>
            <w:tcW w:type="dxa" w:w="29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70" w:after="0"/>
              <w:ind w:left="0" w:right="153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1000</w:t>
            </w:r>
          </w:p>
        </w:tc>
        <w:tc>
          <w:tcPr>
            <w:tcW w:type="dxa" w:w="3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0" w:lineRule="exact" w:before="56" w:after="0"/>
              <w:ind w:left="0" w:right="95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89.63±0.01</w:t>
            </w:r>
            <w:r>
              <w:rPr>
                <w:spacing w:val="-10"/>
                <w:w w:val="101.81818008422852"/>
                <w:rFonts w:ascii="MyriadPro" w:hAnsi="MyriadPro" w:eastAsia="MyriadPro"/>
                <w:color w:val="000000"/>
                <w:sz w:val="11"/>
              </w:rPr>
              <w:t>e</w:t>
            </w:r>
          </w:p>
        </w:tc>
        <w:tc>
          <w:tcPr>
            <w:tcW w:type="dxa" w:w="29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70" w:after="0"/>
              <w:ind w:left="0" w:right="119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96.33±0.01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3160" w:type="dxa"/>
        <w:gridCol w:w="2860" w:type="dxa"/>
        <w:gridCol w:w="2960" w:type="dxa"/>
      </w:tblGrid>
      <w:tr>
        <w:trPr>
          <w:trHeight w:hRule="exact" w:val="236"/>
        </w:trPr>
        <w:tc>
          <w:tcPr>
            <w:tcW w:type="dxa" w:w="3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54" w:lineRule="exact" w:before="60" w:after="0"/>
              <w:ind w:left="0" w:right="130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IC</w:t>
            </w:r>
            <w:r>
              <w:rPr>
                <w:spacing w:val="-10"/>
                <w:w w:val="101.81818008422852"/>
                <w:rFonts w:ascii="MyriadPro" w:hAnsi="MyriadPro" w:eastAsia="MyriadPro"/>
                <w:color w:val="000000"/>
                <w:sz w:val="11"/>
              </w:rPr>
              <w:t>50</w:t>
            </w: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 xml:space="preserve"> (µg/mL)</w:t>
            </w:r>
          </w:p>
        </w:tc>
        <w:tc>
          <w:tcPr>
            <w:tcW w:type="dxa" w:w="28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6" w:after="0"/>
              <w:ind w:left="0" w:right="120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12.99</w:t>
            </w:r>
          </w:p>
        </w:tc>
        <w:tc>
          <w:tcPr>
            <w:tcW w:type="dxa" w:w="29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6" w:after="0"/>
              <w:ind w:left="0" w:right="139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11.39</w:t>
            </w:r>
          </w:p>
        </w:tc>
      </w:tr>
    </w:tbl>
    <w:p>
      <w:pPr>
        <w:autoSpaceDN w:val="0"/>
        <w:autoSpaceDE w:val="0"/>
        <w:widowControl/>
        <w:spacing w:line="168" w:lineRule="exact" w:before="22" w:after="0"/>
        <w:ind w:left="0" w:right="0" w:firstLine="0"/>
        <w:jc w:val="center"/>
      </w:pPr>
      <w:r>
        <w:rPr>
          <w:spacing w:val="-10"/>
          <w:rFonts w:ascii="MyriadPro" w:hAnsi="MyriadPro" w:eastAsia="MyriadPro"/>
          <w:color w:val="000000"/>
          <w:sz w:val="14"/>
        </w:rPr>
        <w:t>The results are presented as mean±SEM (</w:t>
      </w:r>
      <w:r>
        <w:rPr>
          <w:spacing w:val="-10"/>
          <w:rFonts w:ascii="MyriadPro" w:hAnsi="MyriadPro" w:eastAsia="MyriadPro"/>
          <w:i/>
          <w:color w:val="000000"/>
          <w:sz w:val="14"/>
        </w:rPr>
        <w:t>n</w:t>
      </w:r>
      <w:r>
        <w:rPr>
          <w:spacing w:val="-10"/>
          <w:rFonts w:ascii="MyriadPro" w:hAnsi="MyriadPro" w:eastAsia="MyriadPro"/>
          <w:color w:val="000000"/>
          <w:sz w:val="14"/>
        </w:rPr>
        <w:t>=3). Values with different superscript lower-case letters along the column are</w:t>
      </w:r>
    </w:p>
    <w:p>
      <w:pPr>
        <w:autoSpaceDN w:val="0"/>
        <w:autoSpaceDE w:val="0"/>
        <w:widowControl/>
        <w:spacing w:line="168" w:lineRule="exact" w:before="2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4"/>
        </w:rPr>
        <w:t>statistically significantly different</w:t>
      </w:r>
    </w:p>
    <w:p>
      <w:pPr>
        <w:autoSpaceDN w:val="0"/>
        <w:autoSpaceDE w:val="0"/>
        <w:widowControl/>
        <w:spacing w:line="170" w:lineRule="exact" w:before="534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8"/>
        </w:rPr>
        <w:t>Table 5</w:t>
      </w:r>
      <w:r>
        <w:rPr>
          <w:spacing w:val="-10"/>
          <w:rFonts w:ascii="MyriadPro" w:hAnsi="MyriadPro" w:eastAsia="MyriadPro"/>
          <w:color w:val="000000"/>
          <w:sz w:val="18"/>
        </w:rPr>
        <w:t xml:space="preserve"> The percentage hydrogen peroxide scavenging activity of Oyster nut oil extract</w:t>
      </w:r>
    </w:p>
    <w:p>
      <w:pPr>
        <w:autoSpaceDN w:val="0"/>
        <w:tabs>
          <w:tab w:pos="5520" w:val="left"/>
        </w:tabs>
        <w:autoSpaceDE w:val="0"/>
        <w:widowControl/>
        <w:spacing w:line="154" w:lineRule="exact" w:before="7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6"/>
        </w:rPr>
        <w:t xml:space="preserve">Concentration (µg/mL) </w:t>
      </w:r>
      <w:r>
        <w:tab/>
      </w:r>
      <w:r>
        <w:rPr>
          <w:spacing w:val="-10"/>
          <w:rFonts w:ascii="MyriadPro" w:hAnsi="MyriadPro" w:eastAsia="MyriadPro"/>
          <w:b/>
          <w:color w:val="000000"/>
          <w:sz w:val="16"/>
        </w:rPr>
        <w:t>H</w:t>
      </w:r>
      <w:r>
        <w:rPr>
          <w:spacing w:val="-10"/>
          <w:w w:val="101.81818008422852"/>
          <w:rFonts w:ascii="MyriadPro" w:hAnsi="MyriadPro" w:eastAsia="MyriadPro"/>
          <w:b/>
          <w:color w:val="000000"/>
          <w:sz w:val="11"/>
        </w:rPr>
        <w:t>2</w:t>
      </w:r>
      <w:r>
        <w:rPr>
          <w:spacing w:val="-10"/>
          <w:rFonts w:ascii="MyriadPro" w:hAnsi="MyriadPro" w:eastAsia="MyriadPro"/>
          <w:b/>
          <w:color w:val="000000"/>
          <w:sz w:val="16"/>
        </w:rPr>
        <w:t>O</w:t>
      </w:r>
      <w:r>
        <w:rPr>
          <w:spacing w:val="-10"/>
          <w:w w:val="101.81818008422852"/>
          <w:rFonts w:ascii="MyriadPro" w:hAnsi="MyriadPro" w:eastAsia="MyriadPro"/>
          <w:b/>
          <w:color w:val="000000"/>
          <w:sz w:val="11"/>
        </w:rPr>
        <w:t>2</w:t>
      </w:r>
      <w:r>
        <w:rPr>
          <w:spacing w:val="-10"/>
          <w:rFonts w:ascii="MyriadPro" w:hAnsi="MyriadPro" w:eastAsia="MyriadPro"/>
          <w:b/>
          <w:color w:val="000000"/>
          <w:sz w:val="16"/>
        </w:rPr>
        <w:t xml:space="preserve"> Scavenging activity (% inhibition)</w:t>
      </w:r>
    </w:p>
    <w:p>
      <w:pPr>
        <w:autoSpaceDN w:val="0"/>
        <w:tabs>
          <w:tab w:pos="8288" w:val="left"/>
        </w:tabs>
        <w:autoSpaceDE w:val="0"/>
        <w:widowControl/>
        <w:spacing w:line="150" w:lineRule="exact" w:before="78" w:after="22"/>
        <w:ind w:left="5520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6"/>
        </w:rPr>
        <w:t xml:space="preserve">Oyster nut oil </w:t>
      </w:r>
      <w:r>
        <w:tab/>
      </w:r>
      <w:r>
        <w:rPr>
          <w:spacing w:val="-10"/>
          <w:rFonts w:ascii="MyriadPro" w:hAnsi="MyriadPro" w:eastAsia="MyriadPro"/>
          <w:b/>
          <w:color w:val="000000"/>
          <w:sz w:val="16"/>
        </w:rPr>
        <w:t>Ascorbic acid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900" w:type="dxa"/>
        <w:gridCol w:w="3360" w:type="dxa"/>
        <w:gridCol w:w="2920" w:type="dxa"/>
      </w:tblGrid>
      <w:tr>
        <w:trPr>
          <w:trHeight w:hRule="exact" w:val="224"/>
        </w:trPr>
        <w:tc>
          <w:tcPr>
            <w:tcW w:type="dxa" w:w="29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72" w:after="0"/>
              <w:ind w:left="0" w:right="156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62.5</w:t>
            </w:r>
          </w:p>
        </w:tc>
        <w:tc>
          <w:tcPr>
            <w:tcW w:type="dxa" w:w="33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2" w:lineRule="exact" w:before="58" w:after="0"/>
              <w:ind w:left="0" w:right="95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44.96±0.22</w:t>
            </w:r>
            <w:r>
              <w:rPr>
                <w:spacing w:val="-10"/>
                <w:w w:val="101.81818008422852"/>
                <w:rFonts w:ascii="MyriadPro" w:hAnsi="MyriadPro" w:eastAsia="MyriadPro"/>
                <w:color w:val="000000"/>
                <w:sz w:val="11"/>
              </w:rPr>
              <w:t>a</w:t>
            </w:r>
          </w:p>
        </w:tc>
        <w:tc>
          <w:tcPr>
            <w:tcW w:type="dxa" w:w="29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72" w:after="0"/>
              <w:ind w:left="0" w:right="119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64.98±0.08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880" w:type="dxa"/>
        <w:gridCol w:w="3400" w:type="dxa"/>
        <w:gridCol w:w="2900" w:type="dxa"/>
      </w:tblGrid>
      <w:tr>
        <w:trPr>
          <w:trHeight w:hRule="exact" w:val="244"/>
        </w:trPr>
        <w:tc>
          <w:tcPr>
            <w:tcW w:type="dxa" w:w="28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82" w:after="0"/>
              <w:ind w:left="0" w:right="157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125</w:t>
            </w:r>
          </w:p>
        </w:tc>
        <w:tc>
          <w:tcPr>
            <w:tcW w:type="dxa" w:w="34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4" w:lineRule="exact" w:before="44" w:after="0"/>
              <w:ind w:left="0" w:right="96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52.33±0.16</w:t>
            </w:r>
            <w:r>
              <w:rPr>
                <w:spacing w:val="-10"/>
                <w:w w:val="101.81818008422852"/>
                <w:rFonts w:ascii="MyriadPro" w:hAnsi="MyriadPro" w:eastAsia="MyriadPro"/>
                <w:color w:val="000000"/>
                <w:sz w:val="11"/>
              </w:rPr>
              <w:t>b</w:t>
            </w:r>
          </w:p>
        </w:tc>
        <w:tc>
          <w:tcPr>
            <w:tcW w:type="dxa" w:w="29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82" w:after="0"/>
              <w:ind w:left="0" w:right="119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70.61±0.05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880" w:type="dxa"/>
        <w:gridCol w:w="3380" w:type="dxa"/>
        <w:gridCol w:w="2920" w:type="dxa"/>
      </w:tblGrid>
      <w:tr>
        <w:trPr>
          <w:trHeight w:hRule="exact" w:val="222"/>
        </w:trPr>
        <w:tc>
          <w:tcPr>
            <w:tcW w:type="dxa" w:w="28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70" w:after="0"/>
              <w:ind w:left="0" w:right="157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250</w:t>
            </w:r>
          </w:p>
        </w:tc>
        <w:tc>
          <w:tcPr>
            <w:tcW w:type="dxa" w:w="33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0" w:lineRule="exact" w:before="58" w:after="0"/>
              <w:ind w:left="0" w:right="95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59.16±0.18</w:t>
            </w:r>
            <w:r>
              <w:rPr>
                <w:spacing w:val="-10"/>
                <w:w w:val="101.81818008422852"/>
                <w:rFonts w:ascii="MyriadPro" w:hAnsi="MyriadPro" w:eastAsia="MyriadPro"/>
                <w:color w:val="000000"/>
                <w:sz w:val="11"/>
              </w:rPr>
              <w:t>c</w:t>
            </w:r>
          </w:p>
        </w:tc>
        <w:tc>
          <w:tcPr>
            <w:tcW w:type="dxa" w:w="29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70" w:after="0"/>
              <w:ind w:left="0" w:right="119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78.98±0.01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880" w:type="dxa"/>
        <w:gridCol w:w="3400" w:type="dxa"/>
        <w:gridCol w:w="2900" w:type="dxa"/>
      </w:tblGrid>
      <w:tr>
        <w:trPr>
          <w:trHeight w:hRule="exact" w:val="246"/>
        </w:trPr>
        <w:tc>
          <w:tcPr>
            <w:tcW w:type="dxa" w:w="28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82" w:after="0"/>
              <w:ind w:left="0" w:right="157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500</w:t>
            </w:r>
          </w:p>
        </w:tc>
        <w:tc>
          <w:tcPr>
            <w:tcW w:type="dxa" w:w="34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6" w:lineRule="exact" w:before="44" w:after="0"/>
              <w:ind w:left="0" w:right="96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65.52±0.41</w:t>
            </w:r>
            <w:r>
              <w:rPr>
                <w:spacing w:val="-10"/>
                <w:w w:val="101.81818008422852"/>
                <w:rFonts w:ascii="MyriadPro" w:hAnsi="MyriadPro" w:eastAsia="MyriadPro"/>
                <w:color w:val="000000"/>
                <w:sz w:val="11"/>
              </w:rPr>
              <w:t>d</w:t>
            </w:r>
          </w:p>
        </w:tc>
        <w:tc>
          <w:tcPr>
            <w:tcW w:type="dxa" w:w="29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82" w:after="0"/>
              <w:ind w:left="0" w:right="119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88.97±0.03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2920" w:type="dxa"/>
        <w:gridCol w:w="3340" w:type="dxa"/>
        <w:gridCol w:w="2920" w:type="dxa"/>
      </w:tblGrid>
      <w:tr>
        <w:trPr>
          <w:trHeight w:hRule="exact" w:val="236"/>
        </w:trPr>
        <w:tc>
          <w:tcPr>
            <w:tcW w:type="dxa" w:w="29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70" w:after="0"/>
              <w:ind w:left="0" w:right="1534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1000</w:t>
            </w:r>
          </w:p>
        </w:tc>
        <w:tc>
          <w:tcPr>
            <w:tcW w:type="dxa" w:w="33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20" w:lineRule="exact" w:before="56" w:after="0"/>
              <w:ind w:left="0" w:right="95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69.64±0.07</w:t>
            </w:r>
            <w:r>
              <w:rPr>
                <w:spacing w:val="-10"/>
                <w:w w:val="101.81818008422852"/>
                <w:rFonts w:ascii="MyriadPro" w:hAnsi="MyriadPro" w:eastAsia="MyriadPro"/>
                <w:color w:val="000000"/>
                <w:sz w:val="11"/>
              </w:rPr>
              <w:t>e</w:t>
            </w:r>
          </w:p>
        </w:tc>
        <w:tc>
          <w:tcPr>
            <w:tcW w:type="dxa" w:w="29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6" w:lineRule="exact" w:before="70" w:after="0"/>
              <w:ind w:left="0" w:right="1196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94.71±0.04</w:t>
            </w:r>
          </w:p>
        </w:tc>
      </w:tr>
    </w:tbl>
    <w:p>
      <w:pPr>
        <w:autoSpaceDN w:val="0"/>
        <w:autoSpaceDE w:val="0"/>
        <w:widowControl/>
        <w:spacing w:line="20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3160" w:type="dxa"/>
        <w:gridCol w:w="3060" w:type="dxa"/>
        <w:gridCol w:w="2900" w:type="dxa"/>
      </w:tblGrid>
      <w:tr>
        <w:trPr>
          <w:trHeight w:hRule="exact" w:val="236"/>
        </w:trPr>
        <w:tc>
          <w:tcPr>
            <w:tcW w:type="dxa" w:w="31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54" w:lineRule="exact" w:before="60" w:after="0"/>
              <w:ind w:left="0" w:right="130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IC</w:t>
            </w:r>
            <w:r>
              <w:rPr>
                <w:spacing w:val="-10"/>
                <w:w w:val="101.81818008422852"/>
                <w:rFonts w:ascii="MyriadPro" w:hAnsi="MyriadPro" w:eastAsia="MyriadPro"/>
                <w:color w:val="000000"/>
                <w:sz w:val="11"/>
              </w:rPr>
              <w:t>50</w:t>
            </w: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 xml:space="preserve"> (µg/mL)</w:t>
            </w:r>
          </w:p>
        </w:tc>
        <w:tc>
          <w:tcPr>
            <w:tcW w:type="dxa" w:w="3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6" w:after="0"/>
              <w:ind w:left="0" w:right="1002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99.40±0.01</w:t>
            </w:r>
          </w:p>
        </w:tc>
        <w:tc>
          <w:tcPr>
            <w:tcW w:type="dxa" w:w="29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08" w:lineRule="exact" w:before="66" w:after="0"/>
              <w:ind w:left="0" w:right="1240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17.82±02</w:t>
            </w:r>
          </w:p>
        </w:tc>
      </w:tr>
    </w:tbl>
    <w:p>
      <w:pPr>
        <w:autoSpaceDN w:val="0"/>
        <w:autoSpaceDE w:val="0"/>
        <w:widowControl/>
        <w:spacing w:line="168" w:lineRule="exact" w:before="22" w:after="0"/>
        <w:ind w:left="0" w:right="0" w:firstLine="0"/>
        <w:jc w:val="center"/>
      </w:pPr>
      <w:r>
        <w:rPr>
          <w:spacing w:val="-10"/>
          <w:rFonts w:ascii="MyriadPro" w:hAnsi="MyriadPro" w:eastAsia="MyriadPro"/>
          <w:color w:val="000000"/>
          <w:sz w:val="14"/>
        </w:rPr>
        <w:t>The results are presented as mean±SEM (</w:t>
      </w:r>
      <w:r>
        <w:rPr>
          <w:spacing w:val="-10"/>
          <w:rFonts w:ascii="MyriadPro" w:hAnsi="MyriadPro" w:eastAsia="MyriadPro"/>
          <w:i/>
          <w:color w:val="000000"/>
          <w:sz w:val="14"/>
        </w:rPr>
        <w:t>n</w:t>
      </w:r>
      <w:r>
        <w:rPr>
          <w:spacing w:val="-10"/>
          <w:rFonts w:ascii="MyriadPro" w:hAnsi="MyriadPro" w:eastAsia="MyriadPro"/>
          <w:color w:val="000000"/>
          <w:sz w:val="14"/>
        </w:rPr>
        <w:t>=3). Values with different super script lower-case letters along the column are</w:t>
      </w:r>
    </w:p>
    <w:p>
      <w:pPr>
        <w:autoSpaceDN w:val="0"/>
        <w:autoSpaceDE w:val="0"/>
        <w:widowControl/>
        <w:spacing w:line="168" w:lineRule="exact" w:before="2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4"/>
        </w:rPr>
        <w:t>statistically significantly different</w:t>
      </w:r>
    </w:p>
    <w:p>
      <w:pPr>
        <w:autoSpaceDN w:val="0"/>
        <w:autoSpaceDE w:val="0"/>
        <w:widowControl/>
        <w:spacing w:line="190" w:lineRule="exact" w:before="26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all tested concentrations (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p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&lt;0.05). However, ascorbic acid showed more potent scaveng­</w:t>
      </w:r>
    </w:p>
    <w:p>
      <w:pPr>
        <w:autoSpaceDN w:val="0"/>
        <w:autoSpaceDE w:val="0"/>
        <w:widowControl/>
        <w:spacing w:line="290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ing activity than the extract at any tested concentration. The IC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50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value of oil extract</w:t>
      </w:r>
    </w:p>
    <w:p>
      <w:pPr>
        <w:autoSpaceDN w:val="0"/>
        <w:autoSpaceDE w:val="0"/>
        <w:widowControl/>
        <w:spacing w:line="190" w:lineRule="exact" w:before="38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(99.40 µg/mL) was higher than that of ascorbic acid (17.82 µg/mL).</w:t>
      </w:r>
    </w:p>
    <w:p>
      <w:pPr>
        <w:autoSpaceDN w:val="0"/>
        <w:autoSpaceDE w:val="0"/>
        <w:widowControl/>
        <w:spacing w:line="148" w:lineRule="exact" w:before="372" w:after="0"/>
        <w:ind w:left="2112" w:right="0" w:firstLine="0"/>
        <w:jc w:val="left"/>
      </w:pPr>
      <w:r>
        <w:rPr>
          <w:spacing w:val="-10"/>
          <w:w w:val="98.0952399117606"/>
          <w:rFonts w:ascii="MyriadPro" w:hAnsi="MyriadPro" w:eastAsia="MyriadPro"/>
          <w:b/>
          <w:color w:val="000000"/>
          <w:sz w:val="21"/>
        </w:rPr>
        <w:t>4 Discussion</w:t>
      </w:r>
    </w:p>
    <w:p>
      <w:pPr>
        <w:autoSpaceDN w:val="0"/>
        <w:autoSpaceDE w:val="0"/>
        <w:widowControl/>
        <w:spacing w:line="172" w:lineRule="exact" w:before="150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4.1 Preliminary phytochemical screening</w:t>
      </w:r>
    </w:p>
    <w:p>
      <w:pPr>
        <w:autoSpaceDN w:val="0"/>
        <w:autoSpaceDE w:val="0"/>
        <w:widowControl/>
        <w:spacing w:line="188" w:lineRule="exact" w:before="102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Plants produce a variety of secondary metabolites, some of which have medicinal value.</w:t>
      </w:r>
    </w:p>
    <w:p>
      <w:pPr>
        <w:autoSpaceDN w:val="0"/>
        <w:autoSpaceDE w:val="0"/>
        <w:widowControl/>
        <w:spacing w:line="186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Knowing the classes of secondary metabolites present in a particular plant product is</w:t>
      </w:r>
    </w:p>
    <w:p>
      <w:pPr>
        <w:autoSpaceDN w:val="0"/>
        <w:autoSpaceDE w:val="0"/>
        <w:widowControl/>
        <w:spacing w:line="188" w:lineRule="exact" w:before="9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important not only for the discovery of therapeutic agents but also for exposing other</w:t>
      </w:r>
    </w:p>
    <w:p>
      <w:pPr>
        <w:autoSpaceDN w:val="0"/>
        <w:autoSpaceDE w:val="0"/>
        <w:widowControl/>
        <w:spacing w:line="290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sources of that class of compounds among the plants. This study identified two classes</w:t>
      </w:r>
    </w:p>
    <w:p>
      <w:pPr>
        <w:autoSpaceDN w:val="0"/>
        <w:autoSpaceDE w:val="0"/>
        <w:widowControl/>
        <w:spacing w:line="188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of secondary metabolites in the Oyster nut oil, the terpenes and saponins. Both classes</w:t>
      </w:r>
    </w:p>
    <w:p>
      <w:pPr>
        <w:autoSpaceDN w:val="0"/>
        <w:autoSpaceDE w:val="0"/>
        <w:widowControl/>
        <w:spacing w:line="290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are known for their pharmaceutical properties, including anti-inflammatory, antiviral,</w:t>
      </w:r>
    </w:p>
    <w:p>
      <w:pPr>
        <w:autoSpaceDN w:val="0"/>
        <w:autoSpaceDE w:val="0"/>
        <w:widowControl/>
        <w:spacing w:line="188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antimicrobial, antitumor, antiaging, immunomodulation, n</w:t>
      </w:r>
      <w:hyperlink r:id="rId109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eu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</w:t>
      </w:r>
      <w:hyperlink r:id="rId110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op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rotection, antima­</w:t>
      </w:r>
    </w:p>
    <w:p>
      <w:pPr>
        <w:autoSpaceDN w:val="0"/>
        <w:autoSpaceDE w:val="0"/>
        <w:widowControl/>
        <w:spacing w:line="188" w:lineRule="exact" w:before="9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laria, hypoglycemic, hypolipidemic and antioxidant activities [</w:t>
      </w:r>
      <w:hyperlink r:id="rId109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36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–</w:t>
      </w:r>
      <w:hyperlink r:id="rId11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40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Presence of these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classes of compounds in Oyster nut oil provides insight into the health benefits associ­</w:t>
      </w:r>
    </w:p>
    <w:p>
      <w:pPr>
        <w:autoSpaceDN w:val="0"/>
        <w:autoSpaceDE w:val="0"/>
        <w:widowControl/>
        <w:spacing w:line="186" w:lineRule="exact" w:before="4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ated with its use by humans.</w:t>
      </w:r>
    </w:p>
    <w:p>
      <w:pPr>
        <w:autoSpaceDN w:val="0"/>
        <w:autoSpaceDE w:val="0"/>
        <w:widowControl/>
        <w:spacing w:line="172" w:lineRule="exact" w:before="38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4.2 GC-MS analysis</w:t>
      </w:r>
    </w:p>
    <w:p>
      <w:pPr>
        <w:autoSpaceDN w:val="0"/>
        <w:autoSpaceDE w:val="0"/>
        <w:widowControl/>
        <w:spacing w:line="290" w:lineRule="exact" w:before="5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GC-MS analysis of Oyster nut oil revealed the presence of seven major phytochemi­</w:t>
      </w:r>
    </w:p>
    <w:p>
      <w:pPr>
        <w:autoSpaceDN w:val="0"/>
        <w:autoSpaceDE w:val="0"/>
        <w:widowControl/>
        <w:spacing w:line="182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cals that are distributed into three classes: the phenolic compounds, terpenoids and Acet­</w:t>
      </w:r>
    </w:p>
    <w:p>
      <w:pPr>
        <w:autoSpaceDN w:val="0"/>
        <w:autoSpaceDE w:val="0"/>
        <w:widowControl/>
        <w:spacing w:line="290" w:lineRule="exact" w:before="54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ylenic alcohol. The phenolic compound are 5-ally-1,2,3-trimethoxy-benzene (elemicin);</w:t>
      </w:r>
    </w:p>
    <w:p>
      <w:pPr>
        <w:autoSpaceDN w:val="0"/>
        <w:autoSpaceDE w:val="0"/>
        <w:widowControl/>
        <w:spacing w:line="186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4-Hydroxy-3,5-dimethoxy-benzaldehyde and 4-Allyl-2,6-dimethoxy-phenol; the terpenoids</w:t>
      </w:r>
    </w:p>
    <w:p>
      <w:pPr>
        <w:autoSpaceDN w:val="0"/>
        <w:autoSpaceDE w:val="0"/>
        <w:widowControl/>
        <w:spacing w:line="188" w:lineRule="exact" w:before="96" w:after="46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are a monoterpene 1-Isopropylidene-4-methyl-cyclohexane, a diterpene 3,7,11,15-Tet­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4440" w:type="dxa"/>
        <w:gridCol w:w="2060" w:type="dxa"/>
        <w:gridCol w:w="540" w:type="dxa"/>
        <w:gridCol w:w="320" w:type="dxa"/>
        <w:gridCol w:w="1960" w:type="dxa"/>
      </w:tblGrid>
      <w:tr>
        <w:trPr>
          <w:trHeight w:hRule="exact" w:val="284"/>
        </w:trPr>
        <w:tc>
          <w:tcPr>
            <w:tcW w:type="dxa" w:w="44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6" w:lineRule="exact" w:before="50" w:after="0"/>
              <w:ind w:left="1072" w:right="0" w:firstLine="0"/>
              <w:jc w:val="left"/>
            </w:pPr>
            <w:r>
              <w:rPr>
                <w:spacing w:val="-10"/>
                <w:w w:val="98.00000190734863"/>
                <w:rFonts w:ascii="WarnockPro" w:hAnsi="WarnockPro" w:eastAsia="WarnockPro"/>
                <w:color w:val="000000"/>
                <w:sz w:val="20"/>
              </w:rPr>
              <w:t>ramethyl-hexadeca-2,6,10,14-tetraen-1-ol</w:t>
            </w:r>
          </w:p>
        </w:tc>
        <w:tc>
          <w:tcPr>
            <w:tcW w:type="dxa" w:w="20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90" w:lineRule="exact" w:before="46" w:after="0"/>
              <w:ind w:left="0" w:right="0" w:firstLine="0"/>
              <w:jc w:val="center"/>
            </w:pPr>
            <w:r>
              <w:rPr>
                <w:spacing w:val="-10"/>
                <w:w w:val="98.00000190734863"/>
                <w:rFonts w:ascii="WarnockPro" w:hAnsi="WarnockPro" w:eastAsia="WarnockPro"/>
                <w:color w:val="000000"/>
                <w:sz w:val="20"/>
              </w:rPr>
              <w:t>(trans-geranylgeraniol),</w:t>
            </w:r>
          </w:p>
        </w:tc>
        <w:tc>
          <w:tcPr>
            <w:tcW w:type="dxa" w:w="5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2" w:lineRule="exact" w:before="50" w:after="0"/>
              <w:ind w:left="0" w:right="0" w:firstLine="0"/>
              <w:jc w:val="center"/>
            </w:pPr>
            <w:r>
              <w:rPr>
                <w:spacing w:val="-10"/>
                <w:w w:val="98.00000190734863"/>
                <w:rFonts w:ascii="WarnockPro" w:hAnsi="WarnockPro" w:eastAsia="WarnockPro"/>
                <w:color w:val="000000"/>
                <w:sz w:val="20"/>
              </w:rPr>
              <w:t>and</w:t>
            </w:r>
          </w:p>
        </w:tc>
        <w:tc>
          <w:tcPr>
            <w:tcW w:type="dxa" w:w="3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92" w:lineRule="exact" w:before="100" w:after="0"/>
              <w:ind w:left="0" w:right="0" w:firstLine="0"/>
              <w:jc w:val="center"/>
            </w:pPr>
            <w:r>
              <w:rPr>
                <w:spacing w:val="-10"/>
                <w:w w:val="98.00000190734863"/>
                <w:rFonts w:ascii="WarnockPro" w:hAnsi="WarnockPro" w:eastAsia="WarnockPro"/>
                <w:color w:val="000000"/>
                <w:sz w:val="20"/>
              </w:rPr>
              <w:t>a</w:t>
            </w:r>
          </w:p>
        </w:tc>
        <w:tc>
          <w:tcPr>
            <w:tcW w:type="dxa" w:w="19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72" w:lineRule="exact" w:before="60" w:after="0"/>
              <w:ind w:left="128" w:right="0" w:firstLine="0"/>
              <w:jc w:val="left"/>
            </w:pPr>
            <w:r>
              <w:rPr>
                <w:spacing w:val="-10"/>
                <w:w w:val="98.00000190734863"/>
                <w:rFonts w:ascii="WarnockPro" w:hAnsi="WarnockPro" w:eastAsia="WarnockPro"/>
                <w:color w:val="000000"/>
                <w:sz w:val="20"/>
              </w:rPr>
              <w:t>triterpene</w:t>
            </w:r>
          </w:p>
        </w:tc>
      </w:tr>
    </w:tbl>
    <w:p>
      <w:pPr>
        <w:autoSpaceDN w:val="0"/>
        <w:autoSpaceDE w:val="0"/>
        <w:widowControl/>
        <w:spacing w:line="190" w:lineRule="exact" w:before="4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2,6,10,15,19,23-Hexamethyl-tetracosa-2,6,10,14,18,22-hexaene (squalene). Oct-5-en-2-yn-</w:t>
      </w:r>
    </w:p>
    <w:p>
      <w:pPr>
        <w:autoSpaceDN w:val="0"/>
        <w:autoSpaceDE w:val="0"/>
        <w:widowControl/>
        <w:spacing w:line="190" w:lineRule="exact" w:before="92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4-ol is an acetylenic alcohol. Only squalene has been previously reported in Oyster nuts (</w:t>
      </w: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T.</w:t>
      </w:r>
    </w:p>
    <w:p>
      <w:pPr>
        <w:sectPr>
          <w:pgSz w:w="11906" w:h="15874"/>
          <w:pgMar w:top="240" w:right="240" w:bottom="122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20" w:type="dxa"/>
        <w:gridCol w:w="3760" w:type="dxa"/>
        <w:gridCol w:w="4040" w:type="dxa"/>
      </w:tblGrid>
      <w:tr>
        <w:trPr>
          <w:trHeight w:hRule="exact" w:val="210"/>
        </w:trPr>
        <w:tc>
          <w:tcPr>
            <w:tcW w:type="dxa" w:w="2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Shayo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et al. Discover Chemistry</w:t>
            </w:r>
          </w:p>
        </w:tc>
        <w:tc>
          <w:tcPr>
            <w:tcW w:type="dxa" w:w="37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4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3:378</w:t>
            </w:r>
          </w:p>
        </w:tc>
        <w:tc>
          <w:tcPr>
            <w:tcW w:type="dxa" w:w="40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11 of 15</w:t>
            </w:r>
          </w:p>
        </w:tc>
      </w:tr>
    </w:tbl>
    <w:p>
      <w:pPr>
        <w:autoSpaceDN w:val="0"/>
        <w:autoSpaceDE w:val="0"/>
        <w:widowControl/>
        <w:spacing w:line="282" w:lineRule="exact" w:before="736" w:after="0"/>
        <w:ind w:left="2112" w:right="2114" w:firstLine="0"/>
        <w:jc w:val="both"/>
      </w:pPr>
      <w:r>
        <w:rPr>
          <w:spacing w:val="-10"/>
          <w:w w:val="98.00000190734863"/>
          <w:rFonts w:ascii="WarnockPro" w:hAnsi="WarnockPro" w:eastAsia="WarnockPro"/>
          <w:i/>
          <w:color w:val="000000"/>
          <w:sz w:val="20"/>
        </w:rPr>
        <w:t>pedata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) [</w:t>
      </w:r>
      <w:hyperlink r:id="rId83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]; the remaining compounds are reported here for the first time. The observed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difference in the results might be due to the differences in soil properties where the studied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plants were taken. Out of the seven identified compounds, three are k</w:t>
      </w:r>
      <w:hyperlink r:id="rId112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no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</w:t>
      </w:r>
      <w:hyperlink r:id="rId113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n f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or their anti­</w:t>
      </w:r>
    </w:p>
    <w:p>
      <w:pPr>
        <w:autoSpaceDN w:val="0"/>
        <w:autoSpaceDE w:val="0"/>
        <w:widowControl/>
        <w:spacing w:line="254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oxidant activities: elemicin, squalene and 4-Allyl-2,6-dimethoxyphenol [</w:t>
      </w:r>
      <w:hyperlink r:id="rId112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41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–</w:t>
      </w:r>
      <w:hyperlink r:id="rId113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44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]. Apart from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antioxidant activities, the three compounds have been reported to display several bioactivi­</w:t>
      </w:r>
    </w:p>
    <w:p>
      <w:pPr>
        <w:autoSpaceDN w:val="0"/>
        <w:autoSpaceDE w:val="0"/>
        <w:widowControl/>
        <w:spacing w:line="282" w:lineRule="exact" w:before="58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ties; elemicin shows antifungal, antibacterial, insecticidal and anti-inflammatory activities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[</w:t>
      </w:r>
      <w:hyperlink r:id="rId114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45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–</w:t>
      </w:r>
      <w:hyperlink r:id="rId115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48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 while squalene exhibits antitumor, hypolipidemic</w:t>
      </w:r>
      <w:hyperlink r:id="rId116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, a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ntibacterial, detoxification, neu­</w:t>
      </w:r>
    </w:p>
    <w:p>
      <w:pPr>
        <w:autoSpaceDN w:val="0"/>
        <w:autoSpaceDE w:val="0"/>
        <w:widowControl/>
        <w:spacing w:line="256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roprotection, protects skin and enhances body immunity [</w:t>
      </w:r>
      <w:hyperlink r:id="rId116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49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]. 4-Allyl-2,6-dimethoxy-phenol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has antimicrobial activities [</w:t>
      </w:r>
      <w:hyperlink r:id="rId117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50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For the remaining four compounds, Trans-geranylgeraniol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has been reported to</w:t>
      </w:r>
      <w:hyperlink r:id="rId118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 xml:space="preserve"> e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xhibit antibacterial, anti-inflammatory, anti-tumorigenic and neuro­</w:t>
      </w:r>
    </w:p>
    <w:p>
      <w:pPr>
        <w:autoSpaceDN w:val="0"/>
        <w:autoSpaceDE w:val="0"/>
        <w:widowControl/>
        <w:spacing w:line="254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protective potential [</w:t>
      </w:r>
      <w:hyperlink r:id="rId118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the rest: 4-Hydroxy-3,5-dimethoxy-benzaldehyde, Oct-5-en-2-yn-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4-ol and 1-Isopropylidene-4-methyl-cyclohexane have not yet been reported in literature to</w:t>
      </w:r>
    </w:p>
    <w:p>
      <w:pPr>
        <w:autoSpaceDN w:val="0"/>
        <w:autoSpaceDE w:val="0"/>
        <w:widowControl/>
        <w:spacing w:line="284" w:lineRule="exact" w:before="56" w:after="0"/>
        <w:ind w:left="2112" w:right="2016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have any bioactivity. Therefore, Oyster nut oil has more pharmaceutical health benefits apart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from offering antioxidant potential.</w:t>
      </w:r>
    </w:p>
    <w:p>
      <w:pPr>
        <w:autoSpaceDN w:val="0"/>
        <w:autoSpaceDE w:val="0"/>
        <w:widowControl/>
        <w:spacing w:line="172" w:lineRule="exact" w:before="330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4.3 Fatty acid composition</w:t>
      </w:r>
    </w:p>
    <w:p>
      <w:pPr>
        <w:autoSpaceDN w:val="0"/>
        <w:autoSpaceDE w:val="0"/>
        <w:widowControl/>
        <w:spacing w:line="290" w:lineRule="exact" w:before="5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Consumption of industrial refined oil and animal oil has been linked to increased cases of</w:t>
      </w:r>
    </w:p>
    <w:p>
      <w:pPr>
        <w:autoSpaceDN w:val="0"/>
        <w:autoSpaceDE w:val="0"/>
        <w:widowControl/>
        <w:spacing w:line="270" w:lineRule="exact" w:before="0" w:after="0"/>
        <w:ind w:left="2112" w:right="2114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cardiovascular diseases (CVDs) such as coronary heart</w:t>
      </w:r>
      <w:hyperlink r:id="rId119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 xml:space="preserve"> d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iseases and atherosclerosis due to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presence of high levels of trans fatty acids (TFA) [</w:t>
      </w:r>
      <w:hyperlink r:id="rId119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TFA increases the level of low-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density lip</w:t>
      </w:r>
      <w:hyperlink r:id="rId120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op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rotein cholesterol (LDL-C) and decreases high-density lipoprotein cholesterol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(HDL-C) [</w:t>
      </w:r>
      <w:hyperlink r:id="rId12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However, plant oil contains low levels of TFA with high levels of unsaturated</w:t>
      </w:r>
    </w:p>
    <w:p>
      <w:pPr>
        <w:autoSpaceDN w:val="0"/>
        <w:autoSpaceDE w:val="0"/>
        <w:widowControl/>
        <w:spacing w:line="282" w:lineRule="exact" w:before="58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fatty acid, thus, the WHO recommends consumption of plant oil over industrial refined and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animal oil due to their health promoting benefit [</w:t>
      </w:r>
      <w:hyperlink r:id="rId119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This study revealed Oyster nut oil con­</w:t>
      </w:r>
    </w:p>
    <w:p>
      <w:pPr>
        <w:autoSpaceDN w:val="0"/>
        <w:autoSpaceDE w:val="0"/>
        <w:widowControl/>
        <w:spacing w:line="186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tained both saturated fatty acids and unsaturated fatty acids, with unsaturated being in high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proportion over saturated. Similar findings have been described by [</w:t>
      </w:r>
      <w:hyperlink r:id="rId73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 in Oyster nut oil.</w:t>
      </w:r>
    </w:p>
    <w:p>
      <w:pPr>
        <w:autoSpaceDN w:val="0"/>
        <w:autoSpaceDE w:val="0"/>
        <w:widowControl/>
        <w:spacing w:line="256" w:lineRule="exact" w:before="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Furthermore, the fatty acid composition of Oyster nut oil for linoleic acid</w:t>
      </w:r>
      <w:hyperlink r:id="rId121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, p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almitic acid, oleic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acid, linolenic acid and stearic acid is comparable to that reported by [</w:t>
      </w:r>
      <w:hyperlink r:id="rId121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However, more</w:t>
      </w:r>
    </w:p>
    <w:p>
      <w:pPr>
        <w:autoSpaceDN w:val="0"/>
        <w:autoSpaceDE w:val="0"/>
        <w:widowControl/>
        <w:spacing w:line="282" w:lineRule="exact" w:before="58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fatty acids have been identified by the studies conducted by Bondioli [</w:t>
      </w:r>
      <w:hyperlink r:id="rId121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 and Monica [</w:t>
      </w:r>
      <w:hyperlink r:id="rId74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25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compared to our study. The difference observed can be due to differences in environmental</w:t>
      </w:r>
    </w:p>
    <w:p>
      <w:pPr>
        <w:autoSpaceDN w:val="0"/>
        <w:autoSpaceDE w:val="0"/>
        <w:widowControl/>
        <w:spacing w:line="276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conditions where the plant grows and the methods used for analysing fatty acid composition.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Monounsaturated fatty acids (MUFAs) and polyunsaturated fatty acid (PUFAs) are impor­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tant determinants of a healthy oil. MUFAs such as oleic acid lo</w:t>
      </w:r>
      <w:hyperlink r:id="rId122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we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r the level of LDL-C and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increase HDL-C, thereby reducing the risk of developing CVDs [</w:t>
      </w:r>
      <w:hyperlink r:id="rId122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]. PUFAs such as linoleic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acid (omega-6 fatty acid) and linolenic acid (Omega-3 fatty acid) are essential fatty acids,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thus, must be obtained through diet. Linoleic acid lowers LDL-C and increases HDL-C, reg­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ulates blood glucose l</w:t>
      </w:r>
      <w:hyperlink r:id="rId123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ev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</w:t>
      </w:r>
      <w:hyperlink r:id="rId124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l, t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herefore reducing the risk of developing cardiovascular diseases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type 2 diabetes [</w:t>
      </w:r>
      <w:hyperlink r:id="rId123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56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,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124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57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Palmitic acid and stearic acid are saturated fatty acids linked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with increased risk of developing cardiovascular diseases, obesity, cancer and diabetes. These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two fatty acids constituted 45.6% of the total fatty acid content of Oyster nut oil lower than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that found in palm oil (50%) [</w:t>
      </w:r>
      <w:hyperlink r:id="rId125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58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Therefore, Oyster nut oil can be an alternative to palm oil</w:t>
      </w:r>
    </w:p>
    <w:p>
      <w:pPr>
        <w:autoSpaceDN w:val="0"/>
        <w:autoSpaceDE w:val="0"/>
        <w:widowControl/>
        <w:spacing w:line="254" w:lineRule="exact" w:before="0" w:after="0"/>
        <w:ind w:left="2112" w:right="2016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for human consumption. Furthermore, the high content of saturated fatty acids and saponins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makes it suitable for producing soap, cosmetics and biofuel.</w:t>
      </w:r>
    </w:p>
    <w:p>
      <w:pPr>
        <w:autoSpaceDN w:val="0"/>
        <w:autoSpaceDE w:val="0"/>
        <w:widowControl/>
        <w:spacing w:line="134" w:lineRule="exact" w:before="38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4.4 Antioxidant activities</w:t>
      </w:r>
    </w:p>
    <w:p>
      <w:pPr>
        <w:autoSpaceDN w:val="0"/>
        <w:autoSpaceDE w:val="0"/>
        <w:widowControl/>
        <w:spacing w:line="282" w:lineRule="exact" w:before="46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Under normal physiological metabolism, there is a balance between free radical production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the antioxidant system in the body. In a state of disease and with aging, the balance is</w:t>
      </w:r>
    </w:p>
    <w:p>
      <w:pPr>
        <w:sectPr>
          <w:pgSz w:w="11906" w:h="15874"/>
          <w:pgMar w:top="240" w:right="240" w:bottom="126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20" w:type="dxa"/>
        <w:gridCol w:w="3760" w:type="dxa"/>
        <w:gridCol w:w="4040" w:type="dxa"/>
      </w:tblGrid>
      <w:tr>
        <w:trPr>
          <w:trHeight w:hRule="exact" w:val="210"/>
        </w:trPr>
        <w:tc>
          <w:tcPr>
            <w:tcW w:type="dxa" w:w="2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Shayo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et al. Discover Chemistry</w:t>
            </w:r>
          </w:p>
        </w:tc>
        <w:tc>
          <w:tcPr>
            <w:tcW w:type="dxa" w:w="37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4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3:378</w:t>
            </w:r>
          </w:p>
        </w:tc>
        <w:tc>
          <w:tcPr>
            <w:tcW w:type="dxa" w:w="40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12 of 15</w:t>
            </w:r>
          </w:p>
        </w:tc>
      </w:tr>
    </w:tbl>
    <w:p>
      <w:pPr>
        <w:autoSpaceDN w:val="0"/>
        <w:autoSpaceDE w:val="0"/>
        <w:widowControl/>
        <w:spacing w:line="284" w:lineRule="exact" w:before="678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disrupted, resulting in more production of free rad</w:t>
      </w:r>
      <w:hyperlink r:id="rId126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ic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</w:t>
      </w:r>
      <w:hyperlink r:id="rId127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 xml:space="preserve">ls, 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which overload the antioxidant sys­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tem, leading to a condition called oxidative stress [</w:t>
      </w:r>
      <w:hyperlink r:id="rId126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59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,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127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60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]. Oxidative stress is associated with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physiopathology of many diseases in humans such as diabetes, neurodegenerative dis­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eases, inflammation, sexual dysfunction, cancer, and heart problems [</w:t>
      </w:r>
      <w:hyperlink r:id="rId126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59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,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127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60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Furthermore,</w:t>
      </w:r>
    </w:p>
    <w:p>
      <w:pPr>
        <w:autoSpaceDN w:val="0"/>
        <w:autoSpaceDE w:val="0"/>
        <w:widowControl/>
        <w:spacing w:line="290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oxidative stress accelerates the aging process [</w:t>
      </w:r>
      <w:hyperlink r:id="rId126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59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Therefore, alleviating oxidative stress is of</w:t>
      </w:r>
    </w:p>
    <w:p>
      <w:pPr>
        <w:autoSpaceDN w:val="0"/>
        <w:autoSpaceDE w:val="0"/>
        <w:widowControl/>
        <w:spacing w:line="292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great benefit to the health of an individual. Natural products from plants, including nut oils</w:t>
      </w:r>
    </w:p>
    <w:p>
      <w:pPr>
        <w:autoSpaceDN w:val="0"/>
        <w:autoSpaceDE w:val="0"/>
        <w:widowControl/>
        <w:spacing w:line="268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have been reported to boost the antioxidant system of the body through their phytochemi­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cals acting as exogenous antioxidants, enhancing the expression of endogenous antioxidant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enzymes, and inhibiting pathways that increase production of free radicals [</w:t>
      </w:r>
      <w:hyperlink r:id="rId62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13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,</w:t>
      </w:r>
      <w:r>
        <w:rPr>
          <w:spacing w:val="-10"/>
          <w:w w:val="98.00000190734863"/>
          <w:rFonts w:ascii="WarnockPro" w:hAnsi="WarnockPro" w:eastAsia="WarnockPro"/>
          <w:color w:val="0000FF"/>
          <w:sz w:val="20"/>
        </w:rPr>
        <w:t xml:space="preserve"> </w:t>
      </w:r>
      <w:hyperlink r:id="rId128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61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The anti­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oxidant properties of a substance can be determined in vitro by measuring its percentage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of free radical scavenging activity which is positively corre</w:t>
      </w:r>
      <w:hyperlink r:id="rId129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lat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ed to antioxidant activity. The</w:t>
      </w:r>
    </w:p>
    <w:p>
      <w:pPr>
        <w:autoSpaceDN w:val="0"/>
        <w:autoSpaceDE w:val="0"/>
        <w:widowControl/>
        <w:spacing w:line="186" w:lineRule="exact" w:before="40" w:after="0"/>
        <w:ind w:left="2112" w:right="0" w:firstLine="0"/>
        <w:jc w:val="left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higher the percentage, the higher the antioxidant activities [</w:t>
      </w:r>
      <w:hyperlink r:id="rId129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62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</w:t>
      </w:r>
    </w:p>
    <w:p>
      <w:pPr>
        <w:autoSpaceDN w:val="0"/>
        <w:autoSpaceDE w:val="0"/>
        <w:widowControl/>
        <w:spacing w:line="282" w:lineRule="exact" w:before="2" w:after="0"/>
        <w:ind w:left="2112" w:right="2112" w:firstLine="16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DPPH free radicals scavenging activities measure the ability of a substance to neutralize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free radicals by donating hydrogen. In this work, Oyster nut oil showed DPPH free radicals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scavenging activities in a concentration-dependent manner, portraying its antioxidant activi­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ties. However, its activity was lower than that of ascorbic acid at all tested concentrations.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Isaiah et al. [</w:t>
      </w:r>
      <w:hyperlink r:id="rId83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32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 reported similar findings for Oyster nut oil. On the other hand, hydrogen</w:t>
      </w:r>
    </w:p>
    <w:p>
      <w:pPr>
        <w:autoSpaceDN w:val="0"/>
        <w:autoSpaceDE w:val="0"/>
        <w:widowControl/>
        <w:spacing w:line="272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peroxide scavenging activities measure the ability of a substance to neutralize hydrogen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peroxide. Hydrogen peroxide is one of the sources of reactive oxygen species (ROS) in the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body, such as hydroxyl radicals, that may result in oxidative stress. In this work, Oyster nut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oil extract demonstrated a concentration-dependent hydrogen peroxide scavenging</w:t>
      </w:r>
      <w:hyperlink r:id="rId130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 xml:space="preserve"> a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ctivity,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thereby depicting its ability to prevent oxidative stress in the cellular environment [</w:t>
      </w:r>
      <w:hyperlink r:id="rId130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63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Our</w:t>
      </w:r>
    </w:p>
    <w:p>
      <w:pPr>
        <w:autoSpaceDN w:val="0"/>
        <w:autoSpaceDE w:val="0"/>
        <w:widowControl/>
        <w:spacing w:line="284" w:lineRule="exact" w:before="56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findings are comparable to those reported by [</w:t>
      </w:r>
      <w:hyperlink r:id="rId131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64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who found the hydrogen peroxide scav­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enging activity of extra virgin Olive oil extract to be 71.8 ± 2.5%. The antioxidant activities</w:t>
      </w:r>
    </w:p>
    <w:p>
      <w:pPr>
        <w:autoSpaceDN w:val="0"/>
        <w:autoSpaceDE w:val="0"/>
        <w:widowControl/>
        <w:spacing w:line="282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of the oil can be attributed to elemicin, squalene and 4-Allyl-2,6-dimethoxy-phenol, which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are the only components of Oyster nut oil found to exhibit antioxidant activities in other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studies [</w:t>
      </w:r>
      <w:hyperlink r:id="rId132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65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–</w:t>
      </w:r>
      <w:hyperlink r:id="rId133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67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]. The IC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50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is used to compare the potency of antioxidants; the lower the IC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50</w:t>
      </w:r>
    </w:p>
    <w:p>
      <w:pPr>
        <w:autoSpaceDN w:val="0"/>
        <w:autoSpaceDE w:val="0"/>
        <w:widowControl/>
        <w:spacing w:line="292" w:lineRule="exact" w:before="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value, the higher the potency of the antioxidant. Our findings show that Oyster nut oil has</w:t>
      </w:r>
    </w:p>
    <w:p>
      <w:pPr>
        <w:autoSpaceDN w:val="0"/>
        <w:autoSpaceDE w:val="0"/>
        <w:widowControl/>
        <w:spacing w:line="190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higher IC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50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values than ascorbic acid, implying that ascorbic acid is more potent than Oys­</w:t>
      </w:r>
    </w:p>
    <w:p>
      <w:pPr>
        <w:autoSpaceDN w:val="0"/>
        <w:autoSpaceDE w:val="0"/>
        <w:widowControl/>
        <w:spacing w:line="282" w:lineRule="exact" w:before="56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ter nut oil. This is because ascorbic acid is a pure compound, while the oil is in non-refined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form. Although the IC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50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of the oil is higher than that of ascorbic ac</w:t>
      </w:r>
      <w:hyperlink r:id="rId134" w:history="1">
        <w:r>
          <w:rPr>
            <w:rStyle w:val="Hyperlink"/>
            <w:rFonts w:ascii="WarnockPro" w:hAnsi="WarnockPro" w:eastAsia="WarnockPro" w:cs="WarnockPro"/>
            <w:sz w:val="19.600000381469727"/>
            <w:color w:val="000000"/>
            <w:w w:val="98.00000190734863"/>
            <w:spacing w:val="-10"/>
          </w:rPr>
          <w:t>id,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the oil is classified as</w:t>
      </w:r>
    </w:p>
    <w:p>
      <w:pPr>
        <w:autoSpaceDN w:val="0"/>
        <w:autoSpaceDE w:val="0"/>
        <w:widowControl/>
        <w:spacing w:line="190" w:lineRule="exact" w:before="4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 strong antioxidant because its IC</w:t>
      </w:r>
      <w:r>
        <w:rPr>
          <w:spacing w:val="-10"/>
          <w:w w:val="98.00000190734863"/>
          <w:rFonts w:ascii="WarnockPro" w:hAnsi="WarnockPro" w:eastAsia="WarnockPro"/>
          <w:color w:val="000000"/>
          <w:sz w:val="14"/>
        </w:rPr>
        <w:t>50</w:t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 value is less than 100 µg/mL [</w:t>
      </w:r>
      <w:hyperlink r:id="rId134" w:history="1">
        <w:r>
          <w:rPr>
            <w:rStyle w:val="Hyperlink"/>
            <w:rFonts w:ascii="WarnockPro" w:hAnsi="WarnockPro" w:eastAsia="WarnockPro" w:cs="WarnockPro"/>
            <w:sz w:val="19.600000381469727"/>
            <w:color w:val="0000FF"/>
            <w:w w:val="98.00000190734863"/>
            <w:spacing w:val="-10"/>
          </w:rPr>
          <w:t>68</w:t>
        </w:r>
      </w:hyperlink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], indicating that they</w:t>
      </w:r>
    </w:p>
    <w:p>
      <w:pPr>
        <w:autoSpaceDN w:val="0"/>
        <w:autoSpaceDE w:val="0"/>
        <w:widowControl/>
        <w:spacing w:line="290" w:lineRule="exact" w:before="46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have comparable activities. Therefore, we anticipate Oyster nut oil can protect body cells</w:t>
      </w:r>
    </w:p>
    <w:p>
      <w:pPr>
        <w:autoSpaceDN w:val="0"/>
        <w:autoSpaceDE w:val="0"/>
        <w:widowControl/>
        <w:spacing w:line="272" w:lineRule="exact" w:before="0" w:after="0"/>
        <w:ind w:left="2112" w:right="2114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against oxidative damage through preventing the formation of ROS (superoxide, hydroxyl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and nitric oxide radicals) as well as scavenging them, consequently, preventing diseases asso­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ciated with oxidative stress and aging. Furthermore, having antioxidant activities, Oyster nut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oil can prevent lipid peroxidation, thus, can be used as a natural food preservative to replace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 synthetic ones that have been associated with diseases such as cancer.</w:t>
      </w:r>
    </w:p>
    <w:p>
      <w:pPr>
        <w:autoSpaceDN w:val="0"/>
        <w:autoSpaceDE w:val="0"/>
        <w:widowControl/>
        <w:spacing w:line="150" w:lineRule="exact" w:before="372" w:after="0"/>
        <w:ind w:left="2112" w:right="0" w:firstLine="0"/>
        <w:jc w:val="left"/>
      </w:pPr>
      <w:r>
        <w:rPr>
          <w:spacing w:val="-10"/>
          <w:w w:val="98.0952399117606"/>
          <w:rFonts w:ascii="MyriadPro" w:hAnsi="MyriadPro" w:eastAsia="MyriadPro"/>
          <w:b/>
          <w:color w:val="000000"/>
          <w:sz w:val="21"/>
        </w:rPr>
        <w:t>5 Conclusion</w:t>
      </w:r>
    </w:p>
    <w:p>
      <w:pPr>
        <w:autoSpaceDN w:val="0"/>
        <w:autoSpaceDE w:val="0"/>
        <w:widowControl/>
        <w:spacing w:line="284" w:lineRule="exact" w:before="10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This study provides a comprehensive characterization of the phytochemical composition,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fatty acid profile, and antioxidant activity of Oyster nut oil derived from Telfairia pedata</w:t>
      </w:r>
    </w:p>
    <w:p>
      <w:pPr>
        <w:autoSpaceDN w:val="0"/>
        <w:autoSpaceDE w:val="0"/>
        <w:widowControl/>
        <w:spacing w:line="188" w:lineRule="exact" w:before="3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grown in the Southern Highlands of Tanzania at Njombe. Seven major phytochemicals</w:t>
      </w:r>
    </w:p>
    <w:p>
      <w:pPr>
        <w:autoSpaceDN w:val="0"/>
        <w:autoSpaceDE w:val="0"/>
        <w:widowControl/>
        <w:spacing w:line="292" w:lineRule="exact" w:before="48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were identified, including elemicin, 4-hydroxy-3,5-dimethoxybenzaldehyde, 3,7,11,15-tetra­</w:t>
      </w:r>
    </w:p>
    <w:p>
      <w:pPr>
        <w:autoSpaceDN w:val="0"/>
        <w:autoSpaceDE w:val="0"/>
        <w:widowControl/>
        <w:spacing w:line="190" w:lineRule="exact" w:before="36" w:after="46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methylhexadeca, trans-geranylgeraniol, oct-5-en-2-yn-4-ol, squalene (2,6,10,15,19,23-hexa­</w:t>
      </w:r>
    </w:p>
    <w:tbl>
      <w:tblPr>
        <w:tblW w:type="auto" w:w="0"/>
        <w:tblLayout w:type="fixed"/>
        <w:tblLook w:firstColumn="1" w:firstRow="1" w:lastColumn="0" w:lastRow="0" w:noHBand="0" w:noVBand="1" w:val="04A0"/>
        <w:tblInd w:w="1040" w:type="dxa"/>
      </w:tblPr>
      <w:tblGrid>
        <w:gridCol w:w="4680" w:type="dxa"/>
        <w:gridCol w:w="2940" w:type="dxa"/>
        <w:gridCol w:w="1700" w:type="dxa"/>
      </w:tblGrid>
      <w:tr>
        <w:trPr>
          <w:trHeight w:hRule="exact" w:val="216"/>
        </w:trPr>
        <w:tc>
          <w:tcPr>
            <w:tcW w:type="dxa" w:w="468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8" w:lineRule="exact" w:before="48" w:after="0"/>
              <w:ind w:left="1072" w:right="0" w:firstLine="0"/>
              <w:jc w:val="left"/>
            </w:pPr>
            <w:r>
              <w:rPr>
                <w:spacing w:val="-10"/>
                <w:w w:val="98.00000190734863"/>
                <w:rFonts w:ascii="WarnockPro" w:hAnsi="WarnockPro" w:eastAsia="WarnockPro"/>
                <w:color w:val="000000"/>
                <w:sz w:val="20"/>
              </w:rPr>
              <w:t>methyltetracosa-2,6,10,14,18,22-hexaene),</w:t>
            </w:r>
          </w:p>
        </w:tc>
        <w:tc>
          <w:tcPr>
            <w:tcW w:type="dxa" w:w="29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86" w:lineRule="exact" w:before="50" w:after="0"/>
              <w:ind w:left="0" w:right="0" w:firstLine="0"/>
              <w:jc w:val="center"/>
            </w:pPr>
            <w:r>
              <w:rPr>
                <w:spacing w:val="-10"/>
                <w:w w:val="98.00000190734863"/>
                <w:rFonts w:ascii="WarnockPro" w:hAnsi="WarnockPro" w:eastAsia="WarnockPro"/>
                <w:color w:val="000000"/>
                <w:sz w:val="20"/>
              </w:rPr>
              <w:t>4-allyl-2,6-dimethoxyphenol,</w:t>
            </w:r>
          </w:p>
        </w:tc>
        <w:tc>
          <w:tcPr>
            <w:tcW w:type="dxa" w:w="170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2" w:lineRule="exact" w:before="50" w:after="0"/>
              <w:ind w:left="356" w:right="0" w:firstLine="0"/>
              <w:jc w:val="left"/>
            </w:pPr>
            <w:r>
              <w:rPr>
                <w:spacing w:val="-10"/>
                <w:w w:val="98.00000190734863"/>
                <w:rFonts w:ascii="WarnockPro" w:hAnsi="WarnockPro" w:eastAsia="WarnockPro"/>
                <w:color w:val="000000"/>
                <w:sz w:val="20"/>
              </w:rPr>
              <w:t>and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sectPr>
          <w:pgSz w:w="11906" w:h="15874"/>
          <w:pgMar w:top="240" w:right="240" w:bottom="126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  <w:r>
        <w:drawing>
          <wp:anchor xmlns:a="http://schemas.openxmlformats.org/drawingml/2006/main" xmlns:pic="http://schemas.openxmlformats.org/drawingml/2006/picture" distT="0" distB="0" distL="0" distR="0" simplePos="0" relativeHeight="0" behindDoc="0" locked="0" layoutInCell="1" allowOverlap="1">
            <wp:simplePos x="0" y="0"/>
            <wp:positionH relativeFrom="page">
              <wp:posOffset>1492250</wp:posOffset>
            </wp:positionH>
            <wp:positionV relativeFrom="page">
              <wp:posOffset>6324600</wp:posOffset>
            </wp:positionV>
            <wp:extent cx="1682750" cy="146050"/>
            <wp:wrapNone/>
            <wp:docPr id="666" name="unname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.png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1682750" cy="146050"/>
                    </a:xfrm>
                    <a:prstGeom prst="rect"/>
                  </pic:spPr>
                </pic:pic>
              </a:graphicData>
            </a:graphic>
          </wp:anchor>
        </w:drawing>
      </w: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20" w:type="dxa"/>
        <w:gridCol w:w="3760" w:type="dxa"/>
        <w:gridCol w:w="4040" w:type="dxa"/>
      </w:tblGrid>
      <w:tr>
        <w:trPr>
          <w:trHeight w:hRule="exact" w:val="210"/>
        </w:trPr>
        <w:tc>
          <w:tcPr>
            <w:tcW w:type="dxa" w:w="2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Shayo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et al. Discover Chemistry</w:t>
            </w:r>
          </w:p>
        </w:tc>
        <w:tc>
          <w:tcPr>
            <w:tcW w:type="dxa" w:w="37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4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3:378</w:t>
            </w:r>
          </w:p>
        </w:tc>
        <w:tc>
          <w:tcPr>
            <w:tcW w:type="dxa" w:w="40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13 of 15</w:t>
            </w:r>
          </w:p>
        </w:tc>
      </w:tr>
    </w:tbl>
    <w:p>
      <w:pPr>
        <w:autoSpaceDN w:val="0"/>
        <w:autoSpaceDE w:val="0"/>
        <w:widowControl/>
        <w:spacing w:line="282" w:lineRule="exact" w:before="680" w:after="0"/>
        <w:ind w:left="2016" w:right="2016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1-isopropylidene-4-methylcyclohexane. Among these, only squalene has been previously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documented in Oyster nuts, while the remaining six compounds are reported here for the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first time. The fatty acid profile of the oil was characterized by linoleic acid (45.6%) as the</w:t>
      </w:r>
    </w:p>
    <w:p>
      <w:pPr>
        <w:autoSpaceDN w:val="0"/>
        <w:autoSpaceDE w:val="0"/>
        <w:widowControl/>
        <w:spacing w:line="272" w:lineRule="exact" w:before="0" w:after="0"/>
        <w:ind w:left="2112" w:right="2112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predominant component, followed by palmitic acid (32.4%), stearic acid (13.2%), oleic acid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(8.5%), and linolenic acid (0.3%). Overall, unsaturated fatty acids accounted for 54.7% of the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total fatty acids, exceeding saturated fatty acids, which constituted 45.3%. Furthermore, the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 xml:space="preserve">oil demonstrated notable antioxidant activity, as evidenced by its ability to scavenge both 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DPPH radical and hydrogen peroxide with IC₅₀ values of 12.99 µg/mL and 99.40 µg/mL,</w:t>
      </w:r>
    </w:p>
    <w:p>
      <w:pPr>
        <w:autoSpaceDN w:val="0"/>
        <w:autoSpaceDE w:val="0"/>
        <w:widowControl/>
        <w:spacing w:line="290" w:lineRule="exact" w:before="50" w:after="0"/>
        <w:ind w:left="0" w:right="0" w:firstLine="0"/>
        <w:jc w:val="center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respectively. Collectively, these findings offer novel compositional and functional insights</w:t>
      </w:r>
    </w:p>
    <w:p>
      <w:pPr>
        <w:autoSpaceDN w:val="0"/>
        <w:autoSpaceDE w:val="0"/>
        <w:widowControl/>
        <w:spacing w:line="264" w:lineRule="exact" w:before="0" w:after="0"/>
        <w:ind w:left="2112" w:right="2114" w:firstLine="0"/>
        <w:jc w:val="both"/>
      </w:pP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into Oyster nut oil from Njombe, substantially expanding the existing literature and support­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ing its nutritional promise, bioactivity, and potential for future commercialization and fur­</w:t>
      </w:r>
      <w:r>
        <w:br/>
      </w:r>
      <w:r>
        <w:rPr>
          <w:spacing w:val="-10"/>
          <w:w w:val="98.00000190734863"/>
          <w:rFonts w:ascii="WarnockPro" w:hAnsi="WarnockPro" w:eastAsia="WarnockPro"/>
          <w:color w:val="000000"/>
          <w:sz w:val="20"/>
        </w:rPr>
        <w:t>ther applied research.</w:t>
      </w:r>
    </w:p>
    <w:p>
      <w:pPr>
        <w:autoSpaceDN w:val="0"/>
        <w:autoSpaceDE w:val="0"/>
        <w:widowControl/>
        <w:spacing w:line="180" w:lineRule="exact" w:before="100" w:after="0"/>
        <w:ind w:left="2112" w:right="216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5"/>
        </w:rPr>
        <w:t xml:space="preserve">Acknowledgements </w:t>
      </w:r>
      <w:r>
        <w:br/>
      </w:r>
      <w:r>
        <w:rPr>
          <w:spacing w:val="-10"/>
          <w:rFonts w:ascii="MyriadPro" w:hAnsi="MyriadPro" w:eastAsia="MyriadPro"/>
          <w:color w:val="000000"/>
          <w:sz w:val="15"/>
        </w:rPr>
        <w:t xml:space="preserve">The authors acknowledge Prof. Godliving G. Y. Mtui for his useful comments, suggestions and criticisms. Mr. Hussein M. </w:t>
      </w:r>
      <w:r>
        <w:br/>
      </w:r>
      <w:r>
        <w:rPr>
          <w:spacing w:val="-10"/>
          <w:rFonts w:ascii="MyriadPro" w:hAnsi="MyriadPro" w:eastAsia="MyriadPro"/>
          <w:color w:val="000000"/>
          <w:sz w:val="15"/>
        </w:rPr>
        <w:t>Yasin and the team of technicians from the Tanzania Government Chemist for their invaluable assistance with the study.</w:t>
      </w:r>
    </w:p>
    <w:p>
      <w:pPr>
        <w:autoSpaceDN w:val="0"/>
        <w:autoSpaceDE w:val="0"/>
        <w:widowControl/>
        <w:spacing w:line="108" w:lineRule="exact" w:before="154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5"/>
        </w:rPr>
        <w:t>Authors’contributions</w:t>
      </w:r>
    </w:p>
    <w:p>
      <w:pPr>
        <w:autoSpaceDN w:val="0"/>
        <w:autoSpaceDE w:val="0"/>
        <w:widowControl/>
        <w:spacing w:line="178" w:lineRule="exact" w:before="32" w:after="0"/>
        <w:ind w:left="2112" w:right="216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 xml:space="preserve">Conceptualization, P.S., K.N., and M.M.; methodology, K.N., and M.M. writing—original draft, P.S., K.N., and M.M.; </w:t>
      </w:r>
      <w:r>
        <w:br/>
      </w:r>
      <w:r>
        <w:rPr>
          <w:spacing w:val="-10"/>
          <w:rFonts w:ascii="MyriadPro" w:hAnsi="MyriadPro" w:eastAsia="MyriadPro"/>
          <w:color w:val="000000"/>
          <w:sz w:val="15"/>
        </w:rPr>
        <w:t xml:space="preserve">investigation, K.N., and M.M. visualization and project administration, P.S., K.N., M.M.; funding acquisition, P.S., and K.N. All </w:t>
      </w:r>
      <w:r>
        <w:br/>
      </w:r>
      <w:r>
        <w:rPr>
          <w:spacing w:val="-10"/>
          <w:rFonts w:ascii="MyriadPro" w:hAnsi="MyriadPro" w:eastAsia="MyriadPro"/>
          <w:color w:val="000000"/>
          <w:sz w:val="15"/>
        </w:rPr>
        <w:t>authors reviewed the manuscript.</w:t>
      </w:r>
    </w:p>
    <w:p>
      <w:pPr>
        <w:autoSpaceDN w:val="0"/>
        <w:autoSpaceDE w:val="0"/>
        <w:widowControl/>
        <w:spacing w:line="182" w:lineRule="exact" w:before="112" w:after="0"/>
        <w:ind w:left="2112" w:right="2736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5"/>
        </w:rPr>
        <w:t xml:space="preserve">Funding </w:t>
      </w:r>
      <w:r>
        <w:br/>
      </w:r>
      <w:r>
        <w:rPr>
          <w:spacing w:val="-10"/>
          <w:rFonts w:ascii="MyriadPro" w:hAnsi="MyriadPro" w:eastAsia="MyriadPro"/>
          <w:color w:val="000000"/>
          <w:sz w:val="15"/>
        </w:rPr>
        <w:t>The work was funded by the authors’own resources, and no funding was received from any funding agency.</w:t>
      </w:r>
    </w:p>
    <w:p>
      <w:pPr>
        <w:autoSpaceDN w:val="0"/>
        <w:autoSpaceDE w:val="0"/>
        <w:widowControl/>
        <w:spacing w:line="180" w:lineRule="exact" w:before="114" w:after="0"/>
        <w:ind w:left="2112" w:right="2448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5"/>
        </w:rPr>
        <w:t xml:space="preserve">Data availability </w:t>
      </w:r>
      <w:r>
        <w:br/>
      </w:r>
      <w:r>
        <w:rPr>
          <w:spacing w:val="-10"/>
          <w:rFonts w:ascii="MyriadPro" w:hAnsi="MyriadPro" w:eastAsia="MyriadPro"/>
          <w:color w:val="000000"/>
          <w:sz w:val="15"/>
        </w:rPr>
        <w:t xml:space="preserve">All the data that supports this research are included in the manuscript. However, if further details are required, the </w:t>
      </w:r>
      <w:r>
        <w:br/>
      </w:r>
      <w:r>
        <w:rPr>
          <w:spacing w:val="-10"/>
          <w:rFonts w:ascii="MyriadPro" w:hAnsi="MyriadPro" w:eastAsia="MyriadPro"/>
          <w:color w:val="000000"/>
          <w:sz w:val="15"/>
        </w:rPr>
        <w:t>authors are willing to provide them.</w:t>
      </w:r>
    </w:p>
    <w:p>
      <w:pPr>
        <w:autoSpaceDN w:val="0"/>
        <w:autoSpaceDE w:val="0"/>
        <w:widowControl/>
        <w:spacing w:line="132" w:lineRule="exact" w:before="318" w:after="0"/>
        <w:ind w:left="2112" w:right="0" w:firstLine="0"/>
        <w:jc w:val="left"/>
      </w:pPr>
      <w:r>
        <w:rPr>
          <w:spacing w:val="-10"/>
          <w:w w:val="102.22222010294597"/>
          <w:rFonts w:ascii="MyriadPro" w:hAnsi="MyriadPro" w:eastAsia="MyriadPro"/>
          <w:b/>
          <w:color w:val="000000"/>
          <w:sz w:val="18"/>
        </w:rPr>
        <w:t>Declarations</w:t>
      </w:r>
    </w:p>
    <w:p>
      <w:pPr>
        <w:autoSpaceDN w:val="0"/>
        <w:autoSpaceDE w:val="0"/>
        <w:widowControl/>
        <w:spacing w:line="180" w:lineRule="exact" w:before="142" w:after="0"/>
        <w:ind w:left="2112" w:right="648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5"/>
        </w:rPr>
        <w:t xml:space="preserve">Ethics approval and consent to participate </w:t>
      </w:r>
      <w:r>
        <w:br/>
      </w:r>
      <w:r>
        <w:rPr>
          <w:spacing w:val="-10"/>
          <w:rFonts w:ascii="MyriadPro" w:hAnsi="MyriadPro" w:eastAsia="MyriadPro"/>
          <w:color w:val="000000"/>
          <w:sz w:val="15"/>
        </w:rPr>
        <w:t>Not applicable.</w:t>
      </w:r>
    </w:p>
    <w:p>
      <w:pPr>
        <w:autoSpaceDN w:val="0"/>
        <w:autoSpaceDE w:val="0"/>
        <w:widowControl/>
        <w:spacing w:line="180" w:lineRule="exact" w:before="114" w:after="0"/>
        <w:ind w:left="2112" w:right="7776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5"/>
        </w:rPr>
        <w:t xml:space="preserve">Consent for publication </w:t>
      </w:r>
      <w:r>
        <w:br/>
      </w:r>
      <w:r>
        <w:rPr>
          <w:spacing w:val="-10"/>
          <w:rFonts w:ascii="MyriadPro" w:hAnsi="MyriadPro" w:eastAsia="MyriadPro"/>
          <w:color w:val="000000"/>
          <w:sz w:val="15"/>
        </w:rPr>
        <w:t>Not applicable.</w:t>
      </w:r>
    </w:p>
    <w:p>
      <w:pPr>
        <w:autoSpaceDN w:val="0"/>
        <w:autoSpaceDE w:val="0"/>
        <w:widowControl/>
        <w:spacing w:line="180" w:lineRule="exact" w:before="114" w:after="0"/>
        <w:ind w:left="2112" w:right="6624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5"/>
        </w:rPr>
        <w:t xml:space="preserve">Competing interests </w:t>
      </w:r>
      <w:r>
        <w:br/>
      </w:r>
      <w:r>
        <w:rPr>
          <w:spacing w:val="-10"/>
          <w:rFonts w:ascii="MyriadPro" w:hAnsi="MyriadPro" w:eastAsia="MyriadPro"/>
          <w:color w:val="000000"/>
          <w:sz w:val="15"/>
        </w:rPr>
        <w:t>The authors declare no competing interests.</w:t>
      </w:r>
    </w:p>
    <w:p>
      <w:pPr>
        <w:autoSpaceDN w:val="0"/>
        <w:autoSpaceDE w:val="0"/>
        <w:widowControl/>
        <w:spacing w:line="136" w:lineRule="exact" w:before="270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Received: 3 October 2025 / Accepted: 19 June 2026</w:t>
      </w:r>
    </w:p>
    <w:p>
      <w:pPr>
        <w:autoSpaceDN w:val="0"/>
        <w:autoSpaceDE w:val="0"/>
        <w:widowControl/>
        <w:spacing w:line="110" w:lineRule="exact" w:before="824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b/>
          <w:color w:val="000000"/>
          <w:sz w:val="15"/>
        </w:rPr>
        <w:t>References</w:t>
      </w:r>
    </w:p>
    <w:p>
      <w:pPr>
        <w:autoSpaceDN w:val="0"/>
        <w:tabs>
          <w:tab w:pos="2412" w:val="left"/>
        </w:tabs>
        <w:autoSpaceDE w:val="0"/>
        <w:widowControl/>
        <w:spacing w:line="198" w:lineRule="exact" w:before="0" w:after="0"/>
        <w:ind w:left="2112" w:right="2304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Laaraj S, Hussain A, Shahid E, Bakhtawar F, Zia M, Najam A, et al. Nutritional, pharmaceutical, and health benefits of sun­</w:t>
      </w:r>
      <w:r>
        <w:br/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flower seeds (Helianthus annuus L.): A comprehensive review of food applications. Food Humanit. 2025;5:100641.</w:t>
      </w:r>
    </w:p>
    <w:p>
      <w:pPr>
        <w:autoSpaceDN w:val="0"/>
        <w:tabs>
          <w:tab w:pos="2412" w:val="left"/>
        </w:tabs>
        <w:autoSpaceDE w:val="0"/>
        <w:widowControl/>
        <w:spacing w:line="178" w:lineRule="exact" w:before="0" w:after="0"/>
        <w:ind w:left="2112" w:right="216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2. </w:t>
      </w:r>
      <w:r>
        <w:tab/>
      </w:r>
      <w:hyperlink r:id="rId135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Dean LL. Lipid composition and nu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tritional quality of some commercially available cold pressed oils. 2025;12:1–9.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35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 xml:space="preserve">https:// </w:t>
        </w:r>
      </w:hyperlink>
      <w:r>
        <w:br/>
      </w:r>
      <w:r>
        <w:tab/>
      </w:r>
      <w:hyperlink r:id="rId135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doi.org/10.3389/fnut.2025.1721761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16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Zhang Z, Ding L, Liang Y, Yang H, Zhu Y. The association of dietary fatty acids intake with o</w:t>
      </w:r>
      <w:hyperlink r:id="rId136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verall and cause-specific mortal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­</w:t>
      </w:r>
    </w:p>
    <w:p>
      <w:pPr>
        <w:autoSpaceDN w:val="0"/>
        <w:autoSpaceDE w:val="0"/>
        <w:widowControl/>
        <w:spacing w:line="142" w:lineRule="exact" w:before="34" w:after="0"/>
        <w:ind w:left="2412" w:right="0" w:firstLine="0"/>
        <w:jc w:val="left"/>
      </w:pPr>
      <w:hyperlink r:id="rId136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ity: a pros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pective cohort study from 1999–2018 cycles of the NHANES. 2025; 12:1468513.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36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https://doi.org/10.3389/fnut.202</w:t>
        </w:r>
      </w:hyperlink>
    </w:p>
    <w:p>
      <w:pPr>
        <w:autoSpaceDN w:val="0"/>
        <w:autoSpaceDE w:val="0"/>
        <w:widowControl/>
        <w:spacing w:line="100" w:lineRule="exact" w:before="48" w:after="0"/>
        <w:ind w:left="2412" w:right="0" w:firstLine="0"/>
        <w:jc w:val="left"/>
      </w:pPr>
      <w:hyperlink r:id="rId136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5.1468513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94" w:lineRule="exact" w:before="0" w:after="0"/>
        <w:ind w:left="2112" w:right="216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4.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Ying Q, Wojciechowska P, Siger A, Kaczmarek A, Rudzińska M. Phytochemical Content, Oxidative Stability, and Nutritional </w:t>
      </w:r>
      <w:r>
        <w:br/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Properties of Unconventional Cold-pressed Edible Oils. J Food Nutr Res. 2018;6(7):476–85.</w:t>
      </w:r>
    </w:p>
    <w:p>
      <w:pPr>
        <w:autoSpaceDN w:val="0"/>
        <w:tabs>
          <w:tab w:pos="2412" w:val="left"/>
        </w:tabs>
        <w:autoSpaceDE w:val="0"/>
        <w:widowControl/>
        <w:spacing w:line="116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5.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Kaminska W, Grygier A, Rzyska-szczupak K, Przybylska-balcerek A. </w:t>
      </w:r>
      <w:hyperlink r:id="rId137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Nutritional Quality, Fatty Acids Profile, and P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hytochemi­</w:t>
      </w:r>
    </w:p>
    <w:p>
      <w:pPr>
        <w:autoSpaceDN w:val="0"/>
        <w:autoSpaceDE w:val="0"/>
        <w:widowControl/>
        <w:spacing w:line="140" w:lineRule="exact" w:before="34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cal Composition of Unconventional Vegetable Oils. 2025;30:3269.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37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https://doi.org/10.3390/molecules30153269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80" w:lineRule="exact" w:before="0" w:after="0"/>
        <w:ind w:left="2112" w:right="2016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6.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Torrissen M, Gisslevik E, Gundersen TE, Bolstad T, Eide O, Rizzo AM, et al. Global variations in omega-3 fatty acid status and </w:t>
      </w:r>
      <w:r>
        <w:br/>
      </w:r>
      <w:r>
        <w:tab/>
      </w:r>
      <w:hyperlink r:id="rId138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omega-6: omega-3 ratios : insights from &gt;50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0, 000 whole-blood dried blood spot samples. Lipids Health Dis. 2025;24:260. </w:t>
      </w:r>
      <w:r>
        <w:br/>
      </w:r>
      <w:r>
        <w:tab/>
      </w:r>
      <w:hyperlink r:id="rId138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https://doi.org/10.1186/s12944-025-02676-6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82" w:lineRule="exact" w:before="0" w:after="0"/>
        <w:ind w:left="2112" w:right="216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7.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Gaeini Z, Mirmiran P, Bahadoran Z, Aghayan M, Azizi F. The association between dietary fat</w:t>
      </w:r>
      <w:hyperlink r:id="rId139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 xml:space="preserve">s and the incidence risk of </w:t>
        </w:r>
      </w:hyperlink>
      <w:r>
        <w:br/>
      </w:r>
      <w:r>
        <w:tab/>
      </w:r>
      <w:hyperlink r:id="rId139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cardiovascular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 outcomes: Tehran Lipid and Glucose Study. Nutr Metab (Lond). 2021;18:96.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39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https://doi.org/10.1186/s1298</w:t>
        </w:r>
      </w:hyperlink>
    </w:p>
    <w:p>
      <w:pPr>
        <w:autoSpaceDN w:val="0"/>
        <w:autoSpaceDE w:val="0"/>
        <w:widowControl/>
        <w:spacing w:line="100" w:lineRule="exact" w:before="48" w:after="0"/>
        <w:ind w:left="2412" w:right="0" w:firstLine="0"/>
        <w:jc w:val="left"/>
      </w:pPr>
      <w:hyperlink r:id="rId139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6-021-00624-6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26" w:lineRule="exact" w:before="46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8.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Miró-Colmenárez JP, Illán-Marcos E, Díaz-Cruces E, Rocasolano MM, Martínez-Hernandez JM, Zamora-Ledezma E. Cur­</w:t>
      </w:r>
    </w:p>
    <w:p>
      <w:pPr>
        <w:autoSpaceDN w:val="0"/>
        <w:autoSpaceDE w:val="0"/>
        <w:widowControl/>
        <w:spacing w:line="178" w:lineRule="exact" w:before="16" w:after="0"/>
        <w:ind w:left="2412" w:right="2448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rent insights i</w:t>
      </w:r>
      <w:hyperlink r:id="rId140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nto industrial trans fatty acids legal fram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eworks and health challenges in the European Union. Foods. </w:t>
      </w:r>
      <w:r>
        <w:br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2024;13:3845.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0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https://doi.org/10.3390/foods13233845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sectPr>
          <w:pgSz w:w="11906" w:h="15874"/>
          <w:pgMar w:top="240" w:right="240" w:bottom="142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20" w:type="dxa"/>
        <w:gridCol w:w="3760" w:type="dxa"/>
        <w:gridCol w:w="4040" w:type="dxa"/>
      </w:tblGrid>
      <w:tr>
        <w:trPr>
          <w:trHeight w:hRule="exact" w:val="210"/>
        </w:trPr>
        <w:tc>
          <w:tcPr>
            <w:tcW w:type="dxa" w:w="2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Shayo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et al. Discover Chemistry</w:t>
            </w:r>
          </w:p>
        </w:tc>
        <w:tc>
          <w:tcPr>
            <w:tcW w:type="dxa" w:w="37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4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3:378</w:t>
            </w:r>
          </w:p>
        </w:tc>
        <w:tc>
          <w:tcPr>
            <w:tcW w:type="dxa" w:w="40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14 of 15</w:t>
            </w:r>
          </w:p>
        </w:tc>
      </w:tr>
    </w:tbl>
    <w:p>
      <w:pPr>
        <w:autoSpaceDN w:val="0"/>
        <w:tabs>
          <w:tab w:pos="2412" w:val="left"/>
        </w:tabs>
        <w:autoSpaceDE w:val="0"/>
        <w:widowControl/>
        <w:spacing w:line="142" w:lineRule="exact" w:before="732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9.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Wandhekar SS, Pawar VS, Shinde ST, Gangakhedkar PS. Extraction of oil from oilseeds by cold pressing: A review. Indian</w:t>
      </w:r>
    </w:p>
    <w:p>
      <w:pPr>
        <w:autoSpaceDN w:val="0"/>
        <w:autoSpaceDE w:val="0"/>
        <w:widowControl/>
        <w:spacing w:line="138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Food Ind Mag. 2023;4(5):63–9.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10.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Ramadan, MF. Introduction to cold pressed oils: Green technology, bioactive compounds, functionality, and applications.</w:t>
      </w:r>
    </w:p>
    <w:p>
      <w:pPr>
        <w:autoSpaceDN w:val="0"/>
        <w:autoSpaceDE w:val="0"/>
        <w:widowControl/>
        <w:spacing w:line="136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In Cold pressed oils. 2020;1–5. Academic press.</w:t>
      </w:r>
    </w:p>
    <w:p>
      <w:pPr>
        <w:autoSpaceDN w:val="0"/>
        <w:tabs>
          <w:tab w:pos="2412" w:val="left"/>
        </w:tabs>
        <w:autoSpaceDE w:val="0"/>
        <w:widowControl/>
        <w:spacing w:line="11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11.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Mazaheri Y, Torbati M, Azadmard-Damirchi S, Savage GP. Oil extraction from blends of sunflower and black cumin seeds by</w:t>
      </w:r>
    </w:p>
    <w:p>
      <w:pPr>
        <w:autoSpaceDN w:val="0"/>
        <w:autoSpaceDE w:val="0"/>
        <w:widowControl/>
        <w:spacing w:line="142" w:lineRule="exact" w:before="34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cold press and evaluation of its physicochemical properties. J Food Process Preserv. 2019;43(10):1–8.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12. </w:t>
      </w:r>
      <w:r>
        <w:tab/>
      </w:r>
      <w:hyperlink r:id="rId142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Aziz MA, Diab AS, Mohamm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ed AA. Antioxidant Categories and Mode of Action. Antioxidants. 2019;12:1–22.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2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</w:t>
        </w:r>
      </w:hyperlink>
    </w:p>
    <w:p>
      <w:pPr>
        <w:autoSpaceDN w:val="0"/>
        <w:autoSpaceDE w:val="0"/>
        <w:widowControl/>
        <w:spacing w:line="136" w:lineRule="exact" w:before="42" w:after="0"/>
        <w:ind w:left="2412" w:right="0" w:firstLine="0"/>
        <w:jc w:val="left"/>
      </w:pPr>
      <w:hyperlink r:id="rId142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/10.5772/intechopen.83544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2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13.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Muscolo A, Mariateresa O, Giulio T. Oxidative </w:t>
      </w:r>
      <w:hyperlink r:id="rId143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Stress:The role of antioxidant phytoch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emicals in the prevention and treat­</w:t>
      </w:r>
    </w:p>
    <w:p>
      <w:pPr>
        <w:autoSpaceDN w:val="0"/>
        <w:autoSpaceDE w:val="0"/>
        <w:widowControl/>
        <w:spacing w:line="140" w:lineRule="exact" w:before="3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ment of diseases. Int J Mol Sci. 2024;25:3264.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3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https://doi.org/10.3390/ijms25063264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14.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Eleazu CO. Characterization of the natural products in cocoyam (Colocasia esculenta) using GC–MS. Pharm Biol.</w:t>
      </w:r>
    </w:p>
    <w:p>
      <w:pPr>
        <w:autoSpaceDN w:val="0"/>
        <w:autoSpaceDE w:val="0"/>
        <w:widowControl/>
        <w:spacing w:line="124" w:lineRule="exact" w:before="42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2016;54(12):2880–5.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14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15.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Durazzo A, Ramadan MF, Lucarini M, Editorial. Cold Pressed Oils : Green Source Specialty Oils. 2022;8(February):2021–2.</w:t>
      </w:r>
    </w:p>
    <w:p>
      <w:pPr>
        <w:autoSpaceDN w:val="0"/>
        <w:tabs>
          <w:tab w:pos="2412" w:val="left"/>
        </w:tabs>
        <w:autoSpaceDE w:val="0"/>
        <w:widowControl/>
        <w:spacing w:line="136" w:lineRule="exact" w:before="4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16.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Sun Y, Neelakantan N, Wu Y, Lote-oke R, Pan A, Van Dam RM. Palm Oil Consumption Increases LDL Cholesterol Compared</w:t>
      </w:r>
    </w:p>
    <w:p>
      <w:pPr>
        <w:autoSpaceDN w:val="0"/>
        <w:autoSpaceDE w:val="0"/>
        <w:widowControl/>
        <w:spacing w:line="142" w:lineRule="exact" w:before="42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with Vegetable Oils Low in Saturated Fat in a Meta-Analysis of Clinical. J Nutr Nutr Epidemiol. 2015;145:1549–58.</w:t>
      </w:r>
    </w:p>
    <w:p>
      <w:pPr>
        <w:autoSpaceDN w:val="0"/>
        <w:tabs>
          <w:tab w:pos="2412" w:val="left"/>
        </w:tabs>
        <w:autoSpaceDE w:val="0"/>
        <w:widowControl/>
        <w:spacing w:line="114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17.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Urugo MM, Teka TA, Teshome PG. Palm Oil Processing and Controversies over Its Health Effect: Overview of Positive and</w:t>
      </w:r>
    </w:p>
    <w:p>
      <w:pPr>
        <w:autoSpaceDN w:val="0"/>
        <w:autoSpaceDE w:val="0"/>
        <w:widowControl/>
        <w:spacing w:line="136" w:lineRule="exact" w:before="3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Negative Consequences. 2021;1706(12):1693–706.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18.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Musalima JH, Ogwok P, Mugampoza D. Fatty Acid Composition of Oil from Groundnuts and Oyster Nuts Grown in Uganda.</w:t>
      </w:r>
    </w:p>
    <w:p>
      <w:pPr>
        <w:autoSpaceDN w:val="0"/>
        <w:autoSpaceDE w:val="0"/>
        <w:widowControl/>
        <w:spacing w:line="126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J Food Res. 2019;8(6):37.</w:t>
      </w:r>
    </w:p>
    <w:p>
      <w:pPr>
        <w:autoSpaceDN w:val="0"/>
        <w:tabs>
          <w:tab w:pos="2412" w:val="left"/>
        </w:tabs>
        <w:autoSpaceDE w:val="0"/>
        <w:widowControl/>
        <w:spacing w:line="142" w:lineRule="exact" w:before="1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19.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Aregheore EM. Nutritive Value and Inherent Anti-nutritive Factors in Four Indigenous Edible Leafy Vegetables in Human</w:t>
      </w:r>
    </w:p>
    <w:p>
      <w:pPr>
        <w:autoSpaceDN w:val="0"/>
        <w:autoSpaceDE w:val="0"/>
        <w:widowControl/>
        <w:spacing w:line="138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Nutrition in Nigeria: A Review. J Food Resource Sci. 2012;1:1–14.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20.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Garrity DP. Agroforestry and the achievement of the Millennium Development Goals. Agrofor Syst. 2004;61:5–17.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21.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Vodouhe R, Atta-Krah K, Achigan-Dako GE, Eyog-Matig O, Avohou H. Plant genetic resources and foo</w:t>
      </w:r>
      <w:hyperlink r:id="rId144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d security in West</w:t>
        </w:r>
      </w:hyperlink>
    </w:p>
    <w:p>
      <w:pPr>
        <w:autoSpaceDN w:val="0"/>
        <w:autoSpaceDE w:val="0"/>
        <w:widowControl/>
        <w:spacing w:line="142" w:lineRule="exact" w:before="38" w:after="0"/>
        <w:ind w:left="2412" w:right="0" w:firstLine="0"/>
        <w:jc w:val="left"/>
      </w:pPr>
      <w:hyperlink r:id="rId144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and Central Afr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ica Plant genetic resources and food security in West and Central Africa. 2004. 26–30.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4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https://hdl.handle.net</w:t>
        </w:r>
      </w:hyperlink>
    </w:p>
    <w:p>
      <w:pPr>
        <w:autoSpaceDN w:val="0"/>
        <w:autoSpaceDE w:val="0"/>
        <w:widowControl/>
        <w:spacing w:line="108" w:lineRule="exact" w:before="44" w:after="0"/>
        <w:ind w:left="2412" w:right="0" w:firstLine="0"/>
        <w:jc w:val="left"/>
      </w:pPr>
      <w:hyperlink r:id="rId144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/10568/104869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2" w:lineRule="exact" w:before="24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22.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Shayo P, Treydte A, Mbega E. Ethnobotany of Oyster nut (Telfairia pedata) in Northern Tanzania. J Biodivers Environ Sci.</w:t>
      </w:r>
    </w:p>
    <w:p>
      <w:pPr>
        <w:autoSpaceDN w:val="0"/>
        <w:autoSpaceDE w:val="0"/>
        <w:widowControl/>
        <w:spacing w:line="124" w:lineRule="exact" w:before="42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2022;20(1):43–52.</w:t>
      </w:r>
    </w:p>
    <w:p>
      <w:pPr>
        <w:autoSpaceDN w:val="0"/>
        <w:tabs>
          <w:tab w:pos="2412" w:val="left"/>
        </w:tabs>
        <w:autoSpaceDE w:val="0"/>
        <w:widowControl/>
        <w:spacing w:line="12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23.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Odiaka NI, Akoroda MO, Odiaka EC. Diversity and production methods of fluted pumpkin (Telfairia occidentalis Hook F.);</w:t>
      </w:r>
    </w:p>
    <w:p>
      <w:pPr>
        <w:autoSpaceDN w:val="0"/>
        <w:autoSpaceDE w:val="0"/>
        <w:widowControl/>
        <w:spacing w:line="140" w:lineRule="exact" w:before="34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Experience with vegetable farmers in Makurdi, Nigeria. Afr J Biotechnol. 2008;7(8):944–54.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24.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Mwakasege E, Treydte A, Hoeglinger O, Kassim N, Makule E. Variations in nutrient composition of Oyster nuts (Telfairia</w:t>
      </w:r>
    </w:p>
    <w:p>
      <w:pPr>
        <w:autoSpaceDN w:val="0"/>
        <w:autoSpaceDE w:val="0"/>
        <w:widowControl/>
        <w:spacing w:line="170" w:lineRule="exact" w:before="14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pedata) across different agro-climatic conditions. Cogent Food Agric. 2021;7(1):1913843.</w:t>
      </w:r>
    </w:p>
    <w:p>
      <w:pPr>
        <w:autoSpaceDN w:val="0"/>
        <w:tabs>
          <w:tab w:pos="2412" w:val="left"/>
        </w:tabs>
        <w:autoSpaceDE w:val="0"/>
        <w:widowControl/>
        <w:spacing w:line="134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25.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Monica MN. Nutrients, phenolics, fatty acids and mineral composition of</w:t>
      </w:r>
      <w:r>
        <w:rPr>
          <w:spacing w:val="-10"/>
          <w:w w:val="97.4679438273112"/>
          <w:rFonts w:ascii="MyriadPro" w:hAnsi="MyriadPro" w:eastAsia="MyriadPro"/>
          <w:i/>
          <w:color w:val="000000"/>
          <w:sz w:val="15"/>
        </w:rPr>
        <w:t xml:space="preserve"> Telfairia pedata</w:t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 (SIMS) hook seed kernels</w:t>
      </w:r>
    </w:p>
    <w:p>
      <w:pPr>
        <w:autoSpaceDN w:val="0"/>
        <w:autoSpaceDE w:val="0"/>
        <w:widowControl/>
        <w:spacing w:line="140" w:lineRule="exact" w:before="3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obtained from Kilimanjaro, Tanzania. Ghana J Sci. 2024;64(2):59–70.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26.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Du Q, Wang L, Liu P, Qing J, Sun C, Sun Z, et al. Fatty Acids Variation in Seed of Eucommia ulmoides Populations Collected</w:t>
      </w:r>
    </w:p>
    <w:p>
      <w:pPr>
        <w:autoSpaceDN w:val="0"/>
        <w:autoSpaceDE w:val="0"/>
        <w:widowControl/>
        <w:spacing w:line="170" w:lineRule="exact" w:before="14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from Different Regions in China. Forests. 2018;9:505.</w:t>
      </w:r>
    </w:p>
    <w:p>
      <w:pPr>
        <w:autoSpaceDN w:val="0"/>
        <w:tabs>
          <w:tab w:pos="2412" w:val="left"/>
        </w:tabs>
        <w:autoSpaceDE w:val="0"/>
        <w:widowControl/>
        <w:spacing w:line="11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27.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Kirkhus B, Lundon AR, Haugen JE, Vogt G, Borge GIA, Henriksen BIF. Effects of environmental factors on edible oil quality of</w:t>
      </w:r>
    </w:p>
    <w:p>
      <w:pPr>
        <w:autoSpaceDN w:val="0"/>
        <w:autoSpaceDE w:val="0"/>
        <w:widowControl/>
        <w:spacing w:line="140" w:lineRule="exact" w:before="36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organically grown Camelina sativa. J Agric Food Chem. 2013;61(13):3179–85.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28.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Gudaga JL, Kabote SJ, Malisa ET. Governance principles for local level groundwater management in Njombe District,</w:t>
      </w:r>
    </w:p>
    <w:p>
      <w:pPr>
        <w:autoSpaceDN w:val="0"/>
        <w:autoSpaceDE w:val="0"/>
        <w:widowControl/>
        <w:spacing w:line="128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Tanzania. J Afr Stud Dev. 2022;14(6):88–98.</w:t>
      </w:r>
    </w:p>
    <w:p>
      <w:pPr>
        <w:autoSpaceDN w:val="0"/>
        <w:tabs>
          <w:tab w:pos="2412" w:val="left"/>
        </w:tabs>
        <w:autoSpaceDE w:val="0"/>
        <w:widowControl/>
        <w:spacing w:line="12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29.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Laizer HC, Mbwambo FE. Effectiveness of Sphaeranthus suaveolens (Forssk.) DC. powder in the control of bean bruchid</w:t>
      </w:r>
    </w:p>
    <w:p>
      <w:pPr>
        <w:autoSpaceDN w:val="0"/>
        <w:autoSpaceDE w:val="0"/>
        <w:widowControl/>
        <w:spacing w:line="140" w:lineRule="exact" w:before="36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(Acanthoscelides obtectus) (Coleop</w:t>
      </w:r>
      <w:hyperlink r:id="rId145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tera: Chrysomelidae) in stored common bean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 (Phaseolus vulgaris L.) seeds. J Nat Pestic</w:t>
      </w:r>
    </w:p>
    <w:p>
      <w:pPr>
        <w:autoSpaceDN w:val="0"/>
        <w:autoSpaceDE w:val="0"/>
        <w:widowControl/>
        <w:spacing w:line="140" w:lineRule="exact" w:before="3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Res. 2022;2:100016. Available from: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5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https://doi.org/10.1016/j.napere.2022.100016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16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30.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Josephat JK, Mpinda CB, Masalu RJ. Phytochemical profiling and acute oral toxicity of Suregada zanzibariensis (Baill) root</w:t>
      </w:r>
    </w:p>
    <w:p>
      <w:pPr>
        <w:autoSpaceDN w:val="0"/>
        <w:autoSpaceDE w:val="0"/>
        <w:widowControl/>
        <w:spacing w:line="128" w:lineRule="exact" w:before="34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extract. Afr Health Sci. 2024;24(2):124–37.</w:t>
      </w:r>
    </w:p>
    <w:p>
      <w:pPr>
        <w:autoSpaceDN w:val="0"/>
        <w:tabs>
          <w:tab w:pos="2412" w:val="left"/>
        </w:tabs>
        <w:autoSpaceDE w:val="0"/>
        <w:widowControl/>
        <w:spacing w:line="142" w:lineRule="exact" w:before="1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31.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Tesfaye M, Feyissa T, Haillesilassie T, Wangu ES, Kanagarajan S, Zhu LH. Rapid and non-destructive determination of fatty</w:t>
      </w:r>
    </w:p>
    <w:p>
      <w:pPr>
        <w:autoSpaceDN w:val="0"/>
        <w:autoSpaceDE w:val="0"/>
        <w:widowControl/>
        <w:spacing w:line="170" w:lineRule="exact" w:before="14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acid profile and oil cont</w:t>
      </w:r>
      <w:hyperlink r:id="rId146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ent in diverse brassica carinata germ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plasm using Fourier-Transform Near-Infrared Spectroscopy.</w:t>
      </w:r>
    </w:p>
    <w:p>
      <w:pPr>
        <w:autoSpaceDN w:val="0"/>
        <w:autoSpaceDE w:val="0"/>
        <w:widowControl/>
        <w:spacing w:line="138" w:lineRule="exact" w:before="36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Processes. 2024;12:244.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6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https://doi.org/10.3390/pr12020244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2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32.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Isaiah BM. Characterization of Telfairia pedata (Smith Ex Sims) hook., seed kernel oil for nutritional value and antioxidant</w:t>
      </w:r>
    </w:p>
    <w:p>
      <w:pPr>
        <w:autoSpaceDN w:val="0"/>
        <w:autoSpaceDE w:val="0"/>
        <w:widowControl/>
        <w:spacing w:line="142" w:lineRule="exact" w:before="42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activity. MSc Thesis, University of Nairobi, Kenya (2020).</w:t>
      </w:r>
    </w:p>
    <w:p>
      <w:pPr>
        <w:autoSpaceDN w:val="0"/>
        <w:tabs>
          <w:tab w:pos="2412" w:val="left"/>
        </w:tabs>
        <w:autoSpaceDE w:val="0"/>
        <w:widowControl/>
        <w:spacing w:line="114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33.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Hussain A, Batool A, Yaqub S, Iqbal A, Kauser S, Firdous N et al. Effects of spray drying and ultrasonic assisted extraction on</w:t>
      </w:r>
    </w:p>
    <w:p>
      <w:pPr>
        <w:autoSpaceDN w:val="0"/>
        <w:autoSpaceDE w:val="0"/>
        <w:widowControl/>
        <w:spacing w:line="142" w:lineRule="exact" w:before="34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the p</w:t>
      </w:r>
      <w:hyperlink r:id="rId147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hytochemicals, antioxidant and antimicrobia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l activities of strawberry fruit. Food Chem Adv. 2024;5:100755. Available</w:t>
      </w:r>
    </w:p>
    <w:p>
      <w:pPr>
        <w:autoSpaceDN w:val="0"/>
        <w:autoSpaceDE w:val="0"/>
        <w:widowControl/>
        <w:spacing w:line="140" w:lineRule="exact" w:before="3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from: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7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https://doi.org/10.1016/j.focha.2024.100755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28" w:lineRule="exact" w:before="12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34.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Brand-William W, Cuvelier ME, Berset C. Use of a free radical method to evaluate antioxidant activities. Lebensmittel-</w:t>
      </w:r>
    </w:p>
    <w:p>
      <w:pPr>
        <w:autoSpaceDN w:val="0"/>
        <w:autoSpaceDE w:val="0"/>
        <w:widowControl/>
        <w:spacing w:line="128" w:lineRule="exact" w:before="52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Wissenschaft Techn. 1955;42(6):1239–47.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12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35.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Hussen EM, Endalew SA. In vitro antioxidant and free – </w:t>
      </w:r>
      <w:hyperlink r:id="rId148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radical scavenging activities of polar leaf extr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acts of Vernonia</w:t>
      </w:r>
    </w:p>
    <w:p>
      <w:pPr>
        <w:autoSpaceDN w:val="0"/>
        <w:autoSpaceDE w:val="0"/>
        <w:widowControl/>
        <w:spacing w:line="140" w:lineRule="exact" w:before="42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amygdalina. BMC Complement Med Ther. 2023;23:146.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8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https://doi.org/10.1186/s12906-023-03923-y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14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36.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Rao AV, Gurfinkel DM. The bioactivity of saponins: Triterpenoid and steroidal glycosides. Drug Metabol Drug Interact.</w:t>
      </w:r>
    </w:p>
    <w:p>
      <w:pPr>
        <w:autoSpaceDN w:val="0"/>
        <w:autoSpaceDE w:val="0"/>
        <w:widowControl/>
        <w:spacing w:line="124" w:lineRule="exact" w:before="3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2000;17(1–4):211–35.</w:t>
      </w:r>
    </w:p>
    <w:p>
      <w:pPr>
        <w:autoSpaceDN w:val="0"/>
        <w:tabs>
          <w:tab w:pos="2412" w:val="left"/>
        </w:tabs>
        <w:autoSpaceDE w:val="0"/>
        <w:widowControl/>
        <w:spacing w:line="142" w:lineRule="exact" w:before="1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37.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Paduch R, Trytek M, Król SK, Kud J, Frant M, Kandefer-Szerszeń M, et al. Biological activity of terpene compounds produced</w:t>
      </w:r>
    </w:p>
    <w:p>
      <w:pPr>
        <w:autoSpaceDN w:val="0"/>
        <w:autoSpaceDE w:val="0"/>
        <w:widowControl/>
        <w:spacing w:line="140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by biotechnological methods. Pharm Biol. 2016;54(6):1096–107.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38.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Yang W, Chen X, Li Y, Guo S, Wang Z, Yu X. Advances in Pharmacological Activities of Terpenoids. Nat Prod Commun.</w:t>
      </w:r>
    </w:p>
    <w:p>
      <w:pPr>
        <w:autoSpaceDN w:val="0"/>
        <w:autoSpaceDE w:val="0"/>
        <w:widowControl/>
        <w:spacing w:line="124" w:lineRule="exact" w:before="44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2020;15(3):1–13.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14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39.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Masyita A, Mustika Sari R, Dwi Astuti A, Yasir B, Rahma Rumata N, Emran T, Bin, et al. Terpenes and terpenoids as main</w:t>
      </w:r>
    </w:p>
    <w:p>
      <w:pPr>
        <w:autoSpaceDN w:val="0"/>
        <w:autoSpaceDE w:val="0"/>
        <w:widowControl/>
        <w:spacing w:line="138" w:lineRule="exact" w:before="3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bioactive compounds of essent</w:t>
      </w:r>
      <w:hyperlink r:id="rId149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ial oils, their roles in human health and pote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ntial application as natural food preservatives.</w:t>
      </w:r>
    </w:p>
    <w:p>
      <w:pPr>
        <w:autoSpaceDN w:val="0"/>
        <w:autoSpaceDE w:val="0"/>
        <w:widowControl/>
        <w:spacing w:line="140" w:lineRule="exact" w:before="42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Food Chem X. 2022;13:100217.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9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https://doi.org/10.1016/j.fochx.2022.100217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2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40.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Sharma K, Kaur R, Kumar S, Saini RK, Sharma S, Pawde SV, et al. Sa</w:t>
      </w:r>
      <w:hyperlink r:id="rId150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ponins: A concise review on food related asp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ects, appli­</w:t>
      </w:r>
    </w:p>
    <w:p>
      <w:pPr>
        <w:autoSpaceDN w:val="0"/>
        <w:autoSpaceDE w:val="0"/>
        <w:widowControl/>
        <w:spacing w:line="140" w:lineRule="exact" w:before="42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cations and health implications. Food Chem Adv. 2023;2:100191.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50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https://doi.org/10.1016/j.focha.2023.100191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41.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Ogata M, Hoshi M, Shimotohno K, Urano S, Endo</w:t>
      </w:r>
      <w:hyperlink r:id="rId151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 xml:space="preserve"> T. Antioxidant activity of Magnolol, honoki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ol, and related phenolic com­</w:t>
      </w:r>
    </w:p>
    <w:p>
      <w:pPr>
        <w:autoSpaceDN w:val="0"/>
        <w:autoSpaceDE w:val="0"/>
        <w:widowControl/>
        <w:spacing w:line="138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pounds. J Am Oil Chem Soc. 1997;74(5):557–62.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51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https://doi.org/10.1007/s11746-997-0180-3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2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42.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Al-Qahtani WH, Dinakarkumar Y, Arokiyaraj S, Saravanakumar V, Rajabathar JR, Arjun K, et al. Phyto-chemical and biological</w:t>
      </w:r>
    </w:p>
    <w:p>
      <w:pPr>
        <w:autoSpaceDN w:val="0"/>
        <w:autoSpaceDE w:val="0"/>
        <w:widowControl/>
        <w:spacing w:line="142" w:lineRule="exact" w:before="38" w:after="0"/>
        <w:ind w:left="0" w:right="0" w:firstLine="0"/>
        <w:jc w:val="center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activity of Myristica f</w:t>
      </w:r>
      <w:hyperlink r:id="rId152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ragrans, an ayurvedic medicinal plant in S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outhern India and its ingredient analysis. Saudi J Biol Sci.</w:t>
      </w:r>
    </w:p>
    <w:p>
      <w:pPr>
        <w:autoSpaceDN w:val="0"/>
        <w:autoSpaceDE w:val="0"/>
        <w:widowControl/>
        <w:spacing w:line="138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2022;29(5):3815–21.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52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https://doi.org/10.1016/j.sjbs.2022.02.043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sectPr>
          <w:pgSz w:w="11906" w:h="15874"/>
          <w:pgMar w:top="240" w:right="240" w:bottom="128" w:left="240" w:header="720" w:footer="720" w:gutter="0"/>
          <w:cols/>
          <w:docGrid w:linePitch="360"/>
        </w:sectPr>
      </w:pPr>
    </w:p>
    <w:p>
      <w:pPr>
        <w:autoSpaceDN w:val="0"/>
        <w:autoSpaceDE w:val="0"/>
        <w:widowControl/>
        <w:spacing w:line="220" w:lineRule="exact" w:before="0" w:after="0"/>
        <w:ind w:left="0" w:right="0"/>
      </w:pPr>
    </w:p>
    <w:p>
      <w:pPr>
        <w:autoSpaceDN w:val="0"/>
        <w:autoSpaceDE w:val="0"/>
        <w:widowControl/>
        <w:spacing w:line="220" w:lineRule="exact" w:before="2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440" w:type="dxa"/>
      </w:tblPr>
      <w:tblGrid>
        <w:gridCol w:w="2720" w:type="dxa"/>
        <w:gridCol w:w="3760" w:type="dxa"/>
        <w:gridCol w:w="4040" w:type="dxa"/>
      </w:tblGrid>
      <w:tr>
        <w:trPr>
          <w:trHeight w:hRule="exact" w:val="210"/>
        </w:trPr>
        <w:tc>
          <w:tcPr>
            <w:tcW w:type="dxa" w:w="272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2" w:after="0"/>
              <w:ind w:left="454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Shayo</w:t>
            </w:r>
            <w:r>
              <w:rPr>
                <w:spacing w:val="-10"/>
                <w:rFonts w:ascii="MyriadPro" w:hAnsi="MyriadPro" w:eastAsia="MyriadPro"/>
                <w:i/>
                <w:color w:val="000000"/>
                <w:sz w:val="16"/>
              </w:rPr>
              <w:t xml:space="preserve"> et al. Discover Chemistry</w:t>
            </w:r>
          </w:p>
        </w:tc>
        <w:tc>
          <w:tcPr>
            <w:tcW w:type="dxa" w:w="376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30" w:lineRule="exact" w:before="4" w:after="0"/>
              <w:ind w:left="248" w:right="0" w:firstLine="0"/>
              <w:jc w:val="lef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(2026) 3:378</w:t>
            </w:r>
          </w:p>
        </w:tc>
        <w:tc>
          <w:tcPr>
            <w:tcW w:type="dxa" w:w="4040"/>
            <w:tcBorders/>
            <w:tcMar>
              <w:left w:w="0" w:type="dxa"/>
              <w:right w:w="0" w:type="dxa"/>
            </w:tcMar>
          </w:tcPr>
          <w:p>
            <w:pPr>
              <w:autoSpaceDN w:val="0"/>
              <w:autoSpaceDE w:val="0"/>
              <w:widowControl/>
              <w:spacing w:line="148" w:lineRule="exact" w:before="0" w:after="0"/>
              <w:ind w:left="0" w:right="428" w:firstLine="0"/>
              <w:jc w:val="right"/>
            </w:pPr>
            <w:r>
              <w:rPr>
                <w:spacing w:val="-10"/>
                <w:rFonts w:ascii="MyriadPro" w:hAnsi="MyriadPro" w:eastAsia="MyriadPro"/>
                <w:color w:val="000000"/>
                <w:sz w:val="16"/>
              </w:rPr>
              <w:t>Page 15 of 15</w:t>
            </w:r>
          </w:p>
        </w:tc>
      </w:tr>
    </w:tbl>
    <w:p>
      <w:pPr>
        <w:autoSpaceDN w:val="0"/>
        <w:tabs>
          <w:tab w:pos="2412" w:val="left"/>
        </w:tabs>
        <w:autoSpaceDE w:val="0"/>
        <w:widowControl/>
        <w:spacing w:line="170" w:lineRule="exact" w:before="68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43.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Sabeena Farvin KH, Anandan R, Kumar SHS, Shiny KS, Sankar TV, Thankappan TK. Effect of squalene on tissue defense</w:t>
      </w:r>
    </w:p>
    <w:p>
      <w:pPr>
        <w:autoSpaceDN w:val="0"/>
        <w:autoSpaceDE w:val="0"/>
        <w:widowControl/>
        <w:spacing w:line="142" w:lineRule="exact" w:before="34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system in isoproterenol-induced myocardial infarction in rats. Pharmacol Res. 2004;50(3):231–6.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44.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Preez H, Du. Squalene – antioxidant of the future? South African. J Nat Med. 2007;33:106–12.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4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45.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Rossi PG, Bao L, Luciani A, Panighi J, Desjobert JM, Costa J, et al. (E)-methylisoeugenol and elemicin: Antibacterial compo­</w:t>
      </w:r>
    </w:p>
    <w:p>
      <w:pPr>
        <w:autoSpaceDN w:val="0"/>
        <w:autoSpaceDE w:val="0"/>
        <w:widowControl/>
        <w:spacing w:line="142" w:lineRule="exact" w:before="3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nents of Daucus carota L. essential oil against Campylobacter jejuni. J Agric Food Chem. 2007;55(18):7332–6.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46.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Ilijeva R, Buchbauer G. Biological properties of some volatile phenylpropanoids. Nat Prod Commun. 2016;11(10):1619–29.</w:t>
      </w:r>
    </w:p>
    <w:p>
      <w:pPr>
        <w:autoSpaceDN w:val="0"/>
        <w:tabs>
          <w:tab w:pos="2412" w:val="left"/>
        </w:tabs>
        <w:autoSpaceDE w:val="0"/>
        <w:widowControl/>
        <w:spacing w:line="114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47.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Fernandes CC, Dias ALB, Santos JG do., da Silva IJMM, Miranda MLD. Antifungal and Allelopathic Effects of Essentia</w:t>
      </w:r>
      <w:hyperlink r:id="rId153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l Oil</w:t>
        </w:r>
      </w:hyperlink>
    </w:p>
    <w:p>
      <w:pPr>
        <w:autoSpaceDN w:val="0"/>
        <w:autoSpaceDE w:val="0"/>
        <w:widowControl/>
        <w:spacing w:line="142" w:lineRule="exact" w:before="34" w:after="0"/>
        <w:ind w:left="2412" w:right="0" w:firstLine="0"/>
        <w:jc w:val="left"/>
      </w:pPr>
      <w:hyperlink r:id="rId153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from Calyptranthes concinna DC. Dri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ed Leaves and of Its Major Constituent Elemicin. Agronomy. 2024;14(7):1527.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53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</w:t>
        </w:r>
      </w:hyperlink>
    </w:p>
    <w:p>
      <w:pPr>
        <w:autoSpaceDN w:val="0"/>
        <w:autoSpaceDE w:val="0"/>
        <w:widowControl/>
        <w:spacing w:line="140" w:lineRule="exact" w:before="40" w:after="0"/>
        <w:ind w:left="2412" w:right="0" w:firstLine="0"/>
        <w:jc w:val="left"/>
      </w:pPr>
      <w:hyperlink r:id="rId153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doi.org/10.3390/agronomy14071527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48.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Shah FM, Wang M, Zhao J, Lee J, Farago PV, Manfron J et al. Insecticidal and Repellent Activity of Piper crassi­</w:t>
      </w:r>
    </w:p>
    <w:p>
      <w:pPr>
        <w:autoSpaceDN w:val="0"/>
        <w:autoSpaceDE w:val="0"/>
        <w:widowControl/>
        <w:spacing w:line="140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nervium Essential </w:t>
      </w:r>
      <w:hyperlink r:id="rId154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Oil and Its Pure Compounds Against Import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ed Fire Ants (Hymenoptera: Formicidae). Molecules.</w:t>
      </w:r>
    </w:p>
    <w:p>
      <w:pPr>
        <w:autoSpaceDN w:val="0"/>
        <w:autoSpaceDE w:val="0"/>
        <w:widowControl/>
        <w:spacing w:line="138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2024;29(22):5430.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54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https://doi.org/10.3390/molecules29225430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2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49.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Cheng L, Ji T, Zhang M, Fang B. Recent advances in squalene: Biological activities, sources, extraction, and delivery systems.</w:t>
      </w:r>
    </w:p>
    <w:p>
      <w:pPr>
        <w:autoSpaceDN w:val="0"/>
        <w:autoSpaceDE w:val="0"/>
        <w:widowControl/>
        <w:spacing w:line="126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Trends Food Sci Technol. 2024;146:104392.</w:t>
      </w:r>
    </w:p>
    <w:p>
      <w:pPr>
        <w:autoSpaceDN w:val="0"/>
        <w:tabs>
          <w:tab w:pos="2412" w:val="left"/>
        </w:tabs>
        <w:autoSpaceDE w:val="0"/>
        <w:widowControl/>
        <w:spacing w:line="126" w:lineRule="exact" w:before="28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50.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Muniz DF, dos Santos Barbosa CR, de Menezes IRA, de Sousa EO, Pereira RLS, Júnior JTC, et al. In vitro and in silico inhibi­</w:t>
      </w:r>
    </w:p>
    <w:p>
      <w:pPr>
        <w:autoSpaceDN w:val="0"/>
        <w:autoSpaceDE w:val="0"/>
        <w:widowControl/>
        <w:spacing w:line="170" w:lineRule="exact" w:before="2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tory effects of synthetic a</w:t>
      </w:r>
      <w:hyperlink r:id="rId155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 xml:space="preserve">nd natural eugenol derivatives against the NorA 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efflux pump in Staphylococcus aureus. Food</w:t>
      </w:r>
    </w:p>
    <w:p>
      <w:pPr>
        <w:autoSpaceDN w:val="0"/>
        <w:autoSpaceDE w:val="0"/>
        <w:widowControl/>
        <w:spacing w:line="140" w:lineRule="exact" w:before="34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Chem. 2021;337:127776.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55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https://doi.org/10.1016/j.foodchem.2020.127776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51.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Khalaf RA, Abdul-Jalill TZ. Phytochemical Screening by GC/MS with Isolation and Characterization of ß-sitosterol</w:t>
      </w:r>
    </w:p>
    <w:p>
      <w:pPr>
        <w:autoSpaceDN w:val="0"/>
        <w:autoSpaceDE w:val="0"/>
        <w:widowControl/>
        <w:spacing w:line="170" w:lineRule="exact" w:before="14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and Stigmasterol from Iraqi Euonymus japonicus L. Leaves Parts by Different Techniques. Int J Drug Deliv Technol.</w:t>
      </w:r>
    </w:p>
    <w:p>
      <w:pPr>
        <w:autoSpaceDN w:val="0"/>
        <w:autoSpaceDE w:val="0"/>
        <w:widowControl/>
        <w:spacing w:line="124" w:lineRule="exact" w:before="3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2023;13(1):407–13.</w:t>
      </w:r>
    </w:p>
    <w:p>
      <w:pPr>
        <w:autoSpaceDN w:val="0"/>
        <w:tabs>
          <w:tab w:pos="2412" w:val="left"/>
        </w:tabs>
        <w:autoSpaceDE w:val="0"/>
        <w:widowControl/>
        <w:spacing w:line="126" w:lineRule="exact" w:before="28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52.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Miro-Colmenarez PJ, Illan-Marcos E, Diaz-Cruces E, Rocasolano MM, Matinez-Hernandez JM, Zamora-Ledezma E, et al.</w:t>
      </w:r>
    </w:p>
    <w:p>
      <w:pPr>
        <w:autoSpaceDN w:val="0"/>
        <w:autoSpaceDE w:val="0"/>
        <w:widowControl/>
        <w:spacing w:line="142" w:lineRule="exact" w:before="52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Current insights into </w:t>
      </w:r>
      <w:hyperlink r:id="rId140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industrial trans fatty acids legal framewo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rks and health challenges in the european union and spain.</w:t>
      </w:r>
    </w:p>
    <w:p>
      <w:pPr>
        <w:autoSpaceDN w:val="0"/>
        <w:autoSpaceDE w:val="0"/>
        <w:widowControl/>
        <w:spacing w:line="140" w:lineRule="exact" w:before="3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Foods. 2024;13:3845.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40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https://doi.org/10.3390/foods13233845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16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53.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Sarwar S, Shaheen N, Ashraf MM, Bahar N, Akter F, Hossain MM, et al. Fatty acid profile emphasizing trans-fatty acids</w:t>
      </w:r>
    </w:p>
    <w:p>
      <w:pPr>
        <w:autoSpaceDN w:val="0"/>
        <w:autoSpaceDE w:val="0"/>
        <w:widowControl/>
        <w:spacing w:line="140" w:lineRule="exact" w:before="36" w:after="0"/>
        <w:ind w:left="0" w:right="0" w:firstLine="0"/>
        <w:jc w:val="center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in commercial</w:t>
      </w:r>
      <w:hyperlink r:id="rId156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ly available soybean and palm oils and its pr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obable intake in Bangladesh. Food Chem Adv. 2024;4(June</w:t>
      </w:r>
    </w:p>
    <w:p>
      <w:pPr>
        <w:autoSpaceDN w:val="0"/>
        <w:autoSpaceDE w:val="0"/>
        <w:widowControl/>
        <w:spacing w:line="140" w:lineRule="exact" w:before="3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2023):100611.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56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https://doi.org/10.1016/j.focha.2024.100611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54.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Bondioli P, Folegatti L, Morini G. The chemical composition of oyster nut (Telfairia pedata) seeds and oil. OCL - Oilseeds</w:t>
      </w:r>
    </w:p>
    <w:p>
      <w:pPr>
        <w:autoSpaceDN w:val="0"/>
        <w:autoSpaceDE w:val="0"/>
        <w:widowControl/>
        <w:spacing w:line="138" w:lineRule="exact" w:before="3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fats. Crop Lipids. 2021;28(3):1–5.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4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55.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Hammad S, Pu S, Jones PJ.</w:t>
      </w:r>
      <w:hyperlink r:id="rId157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 xml:space="preserve"> Current Evidence Supporting the Link Betw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een Dietary Fatty Acids and Cardiovascular Disease.</w:t>
      </w:r>
    </w:p>
    <w:p>
      <w:pPr>
        <w:autoSpaceDN w:val="0"/>
        <w:autoSpaceDE w:val="0"/>
        <w:widowControl/>
        <w:spacing w:line="138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Lipids. 2016;51(5):507–17.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57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https://doi.org/10.1007/s11745-015-4113-x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2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56.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Marangoni F, Agostoni C, Borghi C, Catapano AL, Cena H, Ghiselli A, et al. Dietary linoleic acid and human health: Focus on</w:t>
      </w:r>
    </w:p>
    <w:p>
      <w:pPr>
        <w:autoSpaceDN w:val="0"/>
        <w:autoSpaceDE w:val="0"/>
        <w:widowControl/>
        <w:spacing w:line="170" w:lineRule="exact" w:before="14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cardiovascular and cardiometabolic effects. Atherosclerosis. 2020;292:90–8.</w:t>
      </w:r>
    </w:p>
    <w:p>
      <w:pPr>
        <w:autoSpaceDN w:val="0"/>
        <w:tabs>
          <w:tab w:pos="2412" w:val="left"/>
        </w:tabs>
        <w:autoSpaceDE w:val="0"/>
        <w:widowControl/>
        <w:spacing w:line="134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57.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Ananth D, Vijayaraghavan M, Sivasudha T, Tietel Z. Phytochemical composition and a</w:t>
      </w:r>
      <w:hyperlink r:id="rId158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ntioxidant characteristics of tradi­</w:t>
        </w:r>
      </w:hyperlink>
    </w:p>
    <w:p>
      <w:pPr>
        <w:autoSpaceDN w:val="0"/>
        <w:autoSpaceDE w:val="0"/>
        <w:widowControl/>
        <w:spacing w:line="138" w:lineRule="exact" w:before="40" w:after="0"/>
        <w:ind w:left="2412" w:right="0" w:firstLine="0"/>
        <w:jc w:val="left"/>
      </w:pPr>
      <w:hyperlink r:id="rId158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tiona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l cold pressed seed oils in South India. Biocatal Agr Biotechnol. 2018;17:416–21.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58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https://doi.org/10.1016/j.bcab.2018.1</w:t>
        </w:r>
      </w:hyperlink>
    </w:p>
    <w:p>
      <w:pPr>
        <w:autoSpaceDN w:val="0"/>
        <w:autoSpaceDE w:val="0"/>
        <w:widowControl/>
        <w:spacing w:line="100" w:lineRule="exact" w:before="50" w:after="0"/>
        <w:ind w:left="2412" w:right="0" w:firstLine="0"/>
        <w:jc w:val="left"/>
      </w:pPr>
      <w:hyperlink r:id="rId158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2.018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36" w:lineRule="exact" w:before="36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58.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Absalome MA, Massara CC, Alexandre AA, Gervais K, Chantal GGA, Ferdinand D, et al. Bi</w:t>
      </w:r>
      <w:hyperlink r:id="rId159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ochemical properties, nutri­</w:t>
        </w:r>
      </w:hyperlink>
    </w:p>
    <w:p>
      <w:pPr>
        <w:autoSpaceDN w:val="0"/>
        <w:autoSpaceDE w:val="0"/>
        <w:widowControl/>
        <w:spacing w:line="142" w:lineRule="exact" w:before="42" w:after="0"/>
        <w:ind w:left="2412" w:right="0" w:firstLine="0"/>
        <w:jc w:val="left"/>
      </w:pPr>
      <w:hyperlink r:id="rId159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tional values, h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ealth benefits and sustainability of palm oil. Biochimie. 2020;178:81–95.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59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https://doi.org/10.1016/j.bioc</w:t>
        </w:r>
      </w:hyperlink>
    </w:p>
    <w:p>
      <w:pPr>
        <w:autoSpaceDN w:val="0"/>
        <w:autoSpaceDE w:val="0"/>
        <w:widowControl/>
        <w:spacing w:line="108" w:lineRule="exact" w:before="40" w:after="0"/>
        <w:ind w:left="2412" w:right="0" w:firstLine="0"/>
        <w:jc w:val="left"/>
      </w:pPr>
      <w:hyperlink r:id="rId159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hi.2020.09.019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34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59.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Yang J, Luo J, Tian X, Zhao Y, Li Y, Wu X. Progress in Understanding Oxidative Stress, Aging, and Aging-Related Diseases.</w:t>
      </w:r>
    </w:p>
    <w:p>
      <w:pPr>
        <w:autoSpaceDN w:val="0"/>
        <w:autoSpaceDE w:val="0"/>
        <w:widowControl/>
        <w:spacing w:line="126" w:lineRule="exact" w:before="42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Antioxidants. 2024;14(4):394.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16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60.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Zhou NJ, Bao WQ, Zhang CF, Jiang ML, Liang T</w:t>
      </w:r>
      <w:hyperlink r:id="rId160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>L, Ma GY, et al. Immunometabolism and oxid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ative stress: roles and therapeu­</w:t>
      </w:r>
    </w:p>
    <w:p>
      <w:pPr>
        <w:autoSpaceDN w:val="0"/>
        <w:autoSpaceDE w:val="0"/>
        <w:widowControl/>
        <w:spacing w:line="138" w:lineRule="exact" w:before="42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tic strategies. cancer aging. 2025;11(59):1–18.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60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https://doi.org/10.1038/s41514-025-00250-z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tabs>
          <w:tab w:pos="2412" w:val="left"/>
        </w:tabs>
        <w:autoSpaceDE w:val="0"/>
        <w:widowControl/>
        <w:spacing w:line="116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61.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Wang S, Yang R, Li H, Jiang J, Zhang L. Evaluation and comparison of in vitro antioxidant activities of unsaponifiable frac­</w:t>
      </w:r>
    </w:p>
    <w:p>
      <w:pPr>
        <w:autoSpaceDN w:val="0"/>
        <w:autoSpaceDE w:val="0"/>
        <w:widowControl/>
        <w:spacing w:line="140" w:lineRule="exact" w:before="34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tion of 11 kinds of edible vegetable oils. Food Sci Nutr. 2018;6:2355–62.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62.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Baliyan S, Mukherjee R, Priyadarshini A, Vibhuti A, Gupta A, Pandey RP, et al. Determination of Antioxidants by DPPH Radi­</w:t>
      </w:r>
    </w:p>
    <w:p>
      <w:pPr>
        <w:autoSpaceDN w:val="0"/>
        <w:autoSpaceDE w:val="0"/>
        <w:widowControl/>
        <w:spacing w:line="142" w:lineRule="exact" w:before="3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cal Scavenging Activity and Quantitative Phytochemical Analysis of. Molecules. 2022;27:1326.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63.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Ishola O, Emmanuel IGE, Tosin E, Temitayo A. Determination of Antioxidant Capacity in Aqueous Extracts of Corymbia</w:t>
      </w:r>
    </w:p>
    <w:p>
      <w:pPr>
        <w:autoSpaceDN w:val="0"/>
        <w:autoSpaceDE w:val="0"/>
        <w:widowControl/>
        <w:spacing w:line="140" w:lineRule="exact" w:before="40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citriodora Using DPPH, ABTS,FRAP, TPC, and Hydrogen Peroxide Assays. Asian J Res Biochem. 2025;15(3):171–8.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64.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Lee O-H, Lee B-Y, Kim Y-C, Shetty K. Radical Scavenging-Linked Antioxidant Activity of Ethanolic Extracts of Diverse Types</w:t>
      </w:r>
    </w:p>
    <w:p>
      <w:pPr>
        <w:autoSpaceDN w:val="0"/>
        <w:autoSpaceDE w:val="0"/>
        <w:widowControl/>
        <w:spacing w:line="140" w:lineRule="exact" w:before="38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of Extra Virgin Olive Oilse. J Food Sci. 2008;73(7):519–25.</w:t>
      </w:r>
    </w:p>
    <w:p>
      <w:pPr>
        <w:autoSpaceDN w:val="0"/>
        <w:tabs>
          <w:tab w:pos="2412" w:val="left"/>
        </w:tabs>
        <w:autoSpaceDE w:val="0"/>
        <w:widowControl/>
        <w:spacing w:line="140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65.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Barclay LRC, Xi F, Norris JQ. Antioxidant properties of phenolic lignin model compounds. J Wood Chem Technol.</w:t>
      </w:r>
    </w:p>
    <w:p>
      <w:pPr>
        <w:autoSpaceDN w:val="0"/>
        <w:autoSpaceDE w:val="0"/>
        <w:widowControl/>
        <w:spacing w:line="124" w:lineRule="exact" w:before="42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1997;17(1–2):73–90.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16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66.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Kapoor IPS, Singh B, Singh G, De Heluani CS, De Lampasona MP, Catalan CAN. Chemical composition and antioxidant</w:t>
      </w:r>
    </w:p>
    <w:p>
      <w:pPr>
        <w:autoSpaceDN w:val="0"/>
        <w:autoSpaceDE w:val="0"/>
        <w:widowControl/>
        <w:spacing w:line="142" w:lineRule="exact" w:before="40" w:after="0"/>
        <w:ind w:left="0" w:right="0" w:firstLine="0"/>
        <w:jc w:val="center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activity of essential oil and oleoresins of nutmeg (Myristica fragrans Houtt.) fruits. Int J Food Prop. 2013;16(5):1059–70.</w:t>
      </w:r>
    </w:p>
    <w:p>
      <w:pPr>
        <w:autoSpaceDN w:val="0"/>
        <w:tabs>
          <w:tab w:pos="2412" w:val="left"/>
        </w:tabs>
        <w:autoSpaceDE w:val="0"/>
        <w:widowControl/>
        <w:spacing w:line="138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67.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Fernando IPS, Sanjeewa KKA, Samarakoon KW, Lee WW, Kim HS, Jeon YJ. Squalene isolated from marine macroalgae</w:t>
      </w:r>
    </w:p>
    <w:p>
      <w:pPr>
        <w:autoSpaceDN w:val="0"/>
        <w:autoSpaceDE w:val="0"/>
        <w:widowControl/>
        <w:spacing w:line="170" w:lineRule="exact" w:before="16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Caulerpa racemosa and its potent antioxidant and anti-inflammatory activities. J Food Biochem. 2018;42(5):1–10.</w:t>
      </w:r>
    </w:p>
    <w:p>
      <w:pPr>
        <w:autoSpaceDN w:val="0"/>
        <w:tabs>
          <w:tab w:pos="2412" w:val="left"/>
        </w:tabs>
        <w:autoSpaceDE w:val="0"/>
        <w:widowControl/>
        <w:spacing w:line="134" w:lineRule="exact" w:before="0" w:after="0"/>
        <w:ind w:left="21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 xml:space="preserve">68. </w:t>
      </w:r>
      <w:r>
        <w:tab/>
      </w: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Moriasi G, Ireri A, Ngugi MP. In Vitr</w:t>
      </w:r>
      <w:hyperlink r:id="rId161" w:history="1">
        <w:r>
          <w:rPr>
            <w:rStyle w:val="Hyperlink"/>
            <w:rFonts w:ascii="MyriadPro" w:hAnsi="MyriadPro" w:eastAsia="MyriadPro" w:cs="MyriadPro"/>
            <w:sz w:val="14.62019157409668"/>
            <w:color w:val="000000"/>
            <w:w w:val="97.4679438273112"/>
            <w:spacing w:val="-10"/>
          </w:rPr>
          <w:t xml:space="preserve">o Antioxidant Activities of the Aqueous and 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Methanolic Stem Bark Extracts of Piliostigma</w:t>
      </w:r>
    </w:p>
    <w:p>
      <w:pPr>
        <w:autoSpaceDN w:val="0"/>
        <w:autoSpaceDE w:val="0"/>
        <w:widowControl/>
        <w:spacing w:line="138" w:lineRule="exact" w:before="42" w:after="0"/>
        <w:ind w:left="2412" w:right="0" w:firstLine="0"/>
        <w:jc w:val="left"/>
      </w:pPr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thonningii (Schum.). 2020;25:1–9.</w:t>
      </w:r>
      <w:r>
        <w:rPr>
          <w:spacing w:val="-10"/>
          <w:w w:val="97.4679438273112"/>
          <w:rFonts w:ascii="MyriadPro" w:hAnsi="MyriadPro" w:eastAsia="MyriadPro"/>
          <w:color w:val="0000FF"/>
          <w:sz w:val="15"/>
        </w:rPr>
        <w:t xml:space="preserve"> </w:t>
      </w:r>
      <w:hyperlink r:id="rId161" w:history="1">
        <w:r>
          <w:rPr>
            <w:rStyle w:val="Hyperlink"/>
            <w:rFonts w:ascii="MyriadPro" w:hAnsi="MyriadPro" w:eastAsia="MyriadPro" w:cs="MyriadPro"/>
            <w:sz w:val="14.62019157409668"/>
            <w:color w:val="0000FF"/>
            <w:w w:val="97.4679438273112"/>
            <w:spacing w:val="-10"/>
          </w:rPr>
          <w:t>https://doi.org/10.1177/2515690X20937988</w:t>
        </w:r>
      </w:hyperlink>
      <w:r>
        <w:rPr>
          <w:spacing w:val="-10"/>
          <w:w w:val="97.4679438273112"/>
          <w:rFonts w:ascii="MyriadPro" w:hAnsi="MyriadPro" w:eastAsia="MyriadPro"/>
          <w:color w:val="000000"/>
          <w:sz w:val="15"/>
        </w:rPr>
        <w:t>.</w:t>
      </w:r>
    </w:p>
    <w:p>
      <w:pPr>
        <w:autoSpaceDN w:val="0"/>
        <w:autoSpaceDE w:val="0"/>
        <w:widowControl/>
        <w:spacing w:line="148" w:lineRule="exact" w:before="388" w:after="0"/>
        <w:ind w:left="2112" w:right="0" w:firstLine="0"/>
        <w:jc w:val="left"/>
      </w:pPr>
      <w:r>
        <w:rPr>
          <w:spacing w:val="-10"/>
          <w:w w:val="98.0952399117606"/>
          <w:rFonts w:ascii="MyriadPro" w:hAnsi="MyriadPro" w:eastAsia="MyriadPro"/>
          <w:b/>
          <w:color w:val="000000"/>
          <w:sz w:val="21"/>
        </w:rPr>
        <w:t>Publisher’s Note</w:t>
      </w:r>
    </w:p>
    <w:p>
      <w:pPr>
        <w:autoSpaceDN w:val="0"/>
        <w:autoSpaceDE w:val="0"/>
        <w:widowControl/>
        <w:spacing w:line="170" w:lineRule="exact" w:before="46" w:after="0"/>
        <w:ind w:left="2112" w:right="0" w:firstLine="0"/>
        <w:jc w:val="left"/>
      </w:pPr>
      <w:r>
        <w:rPr>
          <w:spacing w:val="-10"/>
          <w:rFonts w:ascii="MyriadPro" w:hAnsi="MyriadPro" w:eastAsia="MyriadPro"/>
          <w:color w:val="000000"/>
          <w:sz w:val="15"/>
        </w:rPr>
        <w:t>Springer Nature remains neutral with regard to jurisdictional claims in published maps and institutional affiliations.</w:t>
      </w:r>
    </w:p>
    <w:sectPr w:rsidR="00FC693F" w:rsidRPr="0006063C" w:rsidSect="00034616">
      <w:pgSz w:w="11906" w:h="15874"/>
      <w:pgMar w:top="240" w:right="240" w:bottom="240" w:left="240" w:header="720" w:footer="720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9" Type="http://schemas.openxmlformats.org/officeDocument/2006/relationships/hyperlink" Target="https://doi.org/10.1007/s44371-026-00821-3" TargetMode="External"/><Relationship Id="rId10" Type="http://schemas.openxmlformats.org/officeDocument/2006/relationships/hyperlink" Target="http://orcid.org/0000-0001-6331-3053" TargetMode="External"/><Relationship Id="rId11" Type="http://schemas.openxmlformats.org/officeDocument/2006/relationships/hyperlink" Target="mailto:philipina.shayo@must.ac.tz" TargetMode="External"/><Relationship Id="rId12" Type="http://schemas.openxmlformats.org/officeDocument/2006/relationships/hyperlink" Target="#nameddest=44371_2026_821_Article.indd%3ACR1-DES%3A103" TargetMode="External"/><Relationship Id="rId13" Type="http://schemas.openxmlformats.org/officeDocument/2006/relationships/hyperlink" Target="http://creativecommons.org/licenses/by-nc-nd/4.0/" TargetMode="External"/><Relationship Id="rId14" Type="http://schemas.openxmlformats.org/officeDocument/2006/relationships/image" Target="media/image1.png"/><Relationship Id="rId15" Type="http://schemas.openxmlformats.org/officeDocument/2006/relationships/image" Target="media/image2.png"/><Relationship Id="rId16" Type="http://schemas.openxmlformats.org/officeDocument/2006/relationships/image" Target="media/image3.png"/><Relationship Id="rId17" Type="http://schemas.openxmlformats.org/officeDocument/2006/relationships/image" Target="media/image4.png"/><Relationship Id="rId18" Type="http://schemas.openxmlformats.org/officeDocument/2006/relationships/image" Target="media/image5.png"/><Relationship Id="rId19" Type="http://schemas.openxmlformats.org/officeDocument/2006/relationships/image" Target="media/image6.png"/><Relationship Id="rId20" Type="http://schemas.openxmlformats.org/officeDocument/2006/relationships/image" Target="media/image7.png"/><Relationship Id="rId21" Type="http://schemas.openxmlformats.org/officeDocument/2006/relationships/image" Target="media/image8.png"/><Relationship Id="rId22" Type="http://schemas.openxmlformats.org/officeDocument/2006/relationships/image" Target="media/image9.png"/><Relationship Id="rId23" Type="http://schemas.openxmlformats.org/officeDocument/2006/relationships/image" Target="media/image10.png"/><Relationship Id="rId24" Type="http://schemas.openxmlformats.org/officeDocument/2006/relationships/image" Target="media/image11.png"/><Relationship Id="rId25" Type="http://schemas.openxmlformats.org/officeDocument/2006/relationships/image" Target="media/image12.png"/><Relationship Id="rId26" Type="http://schemas.openxmlformats.org/officeDocument/2006/relationships/image" Target="media/image13.png"/><Relationship Id="rId27" Type="http://schemas.openxmlformats.org/officeDocument/2006/relationships/image" Target="media/image14.png"/><Relationship Id="rId28" Type="http://schemas.openxmlformats.org/officeDocument/2006/relationships/image" Target="media/image15.png"/><Relationship Id="rId29" Type="http://schemas.openxmlformats.org/officeDocument/2006/relationships/image" Target="media/image16.png"/><Relationship Id="rId30" Type="http://schemas.openxmlformats.org/officeDocument/2006/relationships/image" Target="media/image17.png"/><Relationship Id="rId31" Type="http://schemas.openxmlformats.org/officeDocument/2006/relationships/image" Target="media/image18.png"/><Relationship Id="rId32" Type="http://schemas.openxmlformats.org/officeDocument/2006/relationships/image" Target="media/image19.png"/><Relationship Id="rId33" Type="http://schemas.openxmlformats.org/officeDocument/2006/relationships/image" Target="media/image20.png"/><Relationship Id="rId34" Type="http://schemas.openxmlformats.org/officeDocument/2006/relationships/image" Target="media/image21.png"/><Relationship Id="rId35" Type="http://schemas.openxmlformats.org/officeDocument/2006/relationships/image" Target="media/image22.png"/><Relationship Id="rId36" Type="http://schemas.openxmlformats.org/officeDocument/2006/relationships/image" Target="media/image23.png"/><Relationship Id="rId37" Type="http://schemas.openxmlformats.org/officeDocument/2006/relationships/image" Target="media/image24.png"/><Relationship Id="rId38" Type="http://schemas.openxmlformats.org/officeDocument/2006/relationships/image" Target="media/image25.png"/><Relationship Id="rId39" Type="http://schemas.openxmlformats.org/officeDocument/2006/relationships/image" Target="media/image26.png"/><Relationship Id="rId40" Type="http://schemas.openxmlformats.org/officeDocument/2006/relationships/image" Target="media/image27.png"/><Relationship Id="rId41" Type="http://schemas.openxmlformats.org/officeDocument/2006/relationships/image" Target="media/image28.png"/><Relationship Id="rId42" Type="http://schemas.openxmlformats.org/officeDocument/2006/relationships/image" Target="media/image29.png"/><Relationship Id="rId43" Type="http://schemas.openxmlformats.org/officeDocument/2006/relationships/image" Target="media/image30.png"/><Relationship Id="rId44" Type="http://schemas.openxmlformats.org/officeDocument/2006/relationships/image" Target="media/image31.png"/><Relationship Id="rId45" Type="http://schemas.openxmlformats.org/officeDocument/2006/relationships/image" Target="media/image32.png"/><Relationship Id="rId46" Type="http://schemas.openxmlformats.org/officeDocument/2006/relationships/image" Target="media/image33.png"/><Relationship Id="rId47" Type="http://schemas.openxmlformats.org/officeDocument/2006/relationships/image" Target="media/image34.png"/><Relationship Id="rId48" Type="http://schemas.openxmlformats.org/officeDocument/2006/relationships/image" Target="media/image35.png"/><Relationship Id="rId49" Type="http://schemas.openxmlformats.org/officeDocument/2006/relationships/image" Target="media/image36.png"/><Relationship Id="rId50" Type="http://schemas.openxmlformats.org/officeDocument/2006/relationships/image" Target="media/image37.png"/><Relationship Id="rId51" Type="http://schemas.openxmlformats.org/officeDocument/2006/relationships/image" Target="media/image38.png"/><Relationship Id="rId52" Type="http://schemas.openxmlformats.org/officeDocument/2006/relationships/hyperlink" Target="#nameddest=44371_2026_821_Article.indd%3ACR2-DES%3A104" TargetMode="External"/><Relationship Id="rId53" Type="http://schemas.openxmlformats.org/officeDocument/2006/relationships/hyperlink" Target="#nameddest=44371_2026_821_Article.indd%3ACR3-DES%3A105" TargetMode="External"/><Relationship Id="rId54" Type="http://schemas.openxmlformats.org/officeDocument/2006/relationships/hyperlink" Target="#nameddest=44371_2026_821_Article.indd%3ACR4-DES%3A106" TargetMode="External"/><Relationship Id="rId55" Type="http://schemas.openxmlformats.org/officeDocument/2006/relationships/hyperlink" Target="#nameddest=44371_2026_821_Article.indd%3ACR5-DES%3A107" TargetMode="External"/><Relationship Id="rId56" Type="http://schemas.openxmlformats.org/officeDocument/2006/relationships/hyperlink" Target="#nameddest=44371_2026_821_Article.indd%3ACR6-DES%3A108" TargetMode="External"/><Relationship Id="rId57" Type="http://schemas.openxmlformats.org/officeDocument/2006/relationships/hyperlink" Target="#nameddest=44371_2026_821_Article.indd%3ACR7-DES%3A109" TargetMode="External"/><Relationship Id="rId58" Type="http://schemas.openxmlformats.org/officeDocument/2006/relationships/hyperlink" Target="#nameddest=44371_2026_821_Article.indd%3ACR8-DES%3A110" TargetMode="External"/><Relationship Id="rId59" Type="http://schemas.openxmlformats.org/officeDocument/2006/relationships/hyperlink" Target="#nameddest=44371_2026_821_Article.indd%3ACR9-DES%3A111" TargetMode="External"/><Relationship Id="rId60" Type="http://schemas.openxmlformats.org/officeDocument/2006/relationships/hyperlink" Target="#nameddest=44371_2026_821_Article.indd%3ACR11-DES%3A112" TargetMode="External"/><Relationship Id="rId61" Type="http://schemas.openxmlformats.org/officeDocument/2006/relationships/hyperlink" Target="#nameddest=44371_2026_821_Article.indd%3ACR12-DES%3A113" TargetMode="External"/><Relationship Id="rId62" Type="http://schemas.openxmlformats.org/officeDocument/2006/relationships/hyperlink" Target="#nameddest=44371_2026_821_Article.indd%3ACR13-DES%3A114" TargetMode="External"/><Relationship Id="rId63" Type="http://schemas.openxmlformats.org/officeDocument/2006/relationships/hyperlink" Target="#nameddest=44371_2026_821_Article.indd%3ACR14-DES%3A115" TargetMode="External"/><Relationship Id="rId64" Type="http://schemas.openxmlformats.org/officeDocument/2006/relationships/hyperlink" Target="#nameddest=44371_2026_821_Article.indd%3ACR15-DES%3A116" TargetMode="External"/><Relationship Id="rId65" Type="http://schemas.openxmlformats.org/officeDocument/2006/relationships/hyperlink" Target="#nameddest=44371_2026_821_Article.indd%3ACR16-DES%3A117" TargetMode="External"/><Relationship Id="rId66" Type="http://schemas.openxmlformats.org/officeDocument/2006/relationships/hyperlink" Target="#nameddest=44371_2026_821_Article.indd%3ACR17-DES%3A118" TargetMode="External"/><Relationship Id="rId67" Type="http://schemas.openxmlformats.org/officeDocument/2006/relationships/hyperlink" Target="#nameddest=44371_2026_821_Article.indd%3ACR18-DES%3A119" TargetMode="External"/><Relationship Id="rId68" Type="http://schemas.openxmlformats.org/officeDocument/2006/relationships/hyperlink" Target="#nameddest=44371_2026_821_Article.indd%3ACR19-DES%3A120" TargetMode="External"/><Relationship Id="rId69" Type="http://schemas.openxmlformats.org/officeDocument/2006/relationships/hyperlink" Target="#nameddest=44371_2026_821_Article.indd%3ACR20-DES%3A121" TargetMode="External"/><Relationship Id="rId70" Type="http://schemas.openxmlformats.org/officeDocument/2006/relationships/hyperlink" Target="#nameddest=44371_2026_821_Article.indd%3ACR21-DES%3A122" TargetMode="External"/><Relationship Id="rId71" Type="http://schemas.openxmlformats.org/officeDocument/2006/relationships/hyperlink" Target="#nameddest=44371_2026_821_Article.indd%3ACR22-DES%3A123" TargetMode="External"/><Relationship Id="rId72" Type="http://schemas.openxmlformats.org/officeDocument/2006/relationships/hyperlink" Target="#nameddest=44371_2026_821_Article.indd%3ACR23-DES%3A124" TargetMode="External"/><Relationship Id="rId73" Type="http://schemas.openxmlformats.org/officeDocument/2006/relationships/hyperlink" Target="#nameddest=44371_2026_821_Article.indd%3ACR24-DES%3A125" TargetMode="External"/><Relationship Id="rId74" Type="http://schemas.openxmlformats.org/officeDocument/2006/relationships/hyperlink" Target="#nameddest=44371_2026_821_Article.indd%3ACR25-DES%3A126" TargetMode="External"/><Relationship Id="rId75" Type="http://schemas.openxmlformats.org/officeDocument/2006/relationships/hyperlink" Target="#nameddest=44371_2026_821_Article.indd%3ACR26-DES%3A127" TargetMode="External"/><Relationship Id="rId76" Type="http://schemas.openxmlformats.org/officeDocument/2006/relationships/hyperlink" Target="#nameddest=44371_2026_821_Article.indd%3ACR27-DES%3A128" TargetMode="External"/><Relationship Id="rId77" Type="http://schemas.openxmlformats.org/officeDocument/2006/relationships/hyperlink" Target="#nameddest=44371_2026_821_Article.indd%3ACR28-DES%3A129" TargetMode="External"/><Relationship Id="rId78" Type="http://schemas.openxmlformats.org/officeDocument/2006/relationships/hyperlink" Target="#nameddest=44371_2026_821_Article.indd%3AFig1-DES%3A192" TargetMode="External"/><Relationship Id="rId79" Type="http://schemas.openxmlformats.org/officeDocument/2006/relationships/hyperlink" Target="#nameddest=44371_2026_821_Article.indd%3ACR29-DES%3A130" TargetMode="External"/><Relationship Id="rId80" Type="http://schemas.openxmlformats.org/officeDocument/2006/relationships/image" Target="media/image39.png"/><Relationship Id="rId81" Type="http://schemas.openxmlformats.org/officeDocument/2006/relationships/hyperlink" Target="#nameddest=44371_2026_821_Article.indd%3ACR30-DES%3A131" TargetMode="External"/><Relationship Id="rId82" Type="http://schemas.openxmlformats.org/officeDocument/2006/relationships/hyperlink" Target="#nameddest=44371_2026_821_Article.indd%3ACR31-DES%3A132" TargetMode="External"/><Relationship Id="rId83" Type="http://schemas.openxmlformats.org/officeDocument/2006/relationships/hyperlink" Target="#nameddest=44371_2026_821_Article.indd%3ACR32-DES%3A133" TargetMode="External"/><Relationship Id="rId84" Type="http://schemas.openxmlformats.org/officeDocument/2006/relationships/hyperlink" Target="#nameddest=44371_2026_821_Article.indd%3ACR33-DES%3A134" TargetMode="External"/><Relationship Id="rId85" Type="http://schemas.openxmlformats.org/officeDocument/2006/relationships/hyperlink" Target="#nameddest=44371_2026_821_Article.indd%3ACR34-DES%3A135" TargetMode="External"/><Relationship Id="rId86" Type="http://schemas.openxmlformats.org/officeDocument/2006/relationships/hyperlink" Target="#nameddest=44371_2026_821_Article.indd%3AEqu1-DES%3A193" TargetMode="External"/><Relationship Id="rId87" Type="http://schemas.openxmlformats.org/officeDocument/2006/relationships/hyperlink" Target="#nameddest=44371_2026_821_Article.indd%3ACR35-DES%3A136" TargetMode="External"/><Relationship Id="rId88" Type="http://schemas.openxmlformats.org/officeDocument/2006/relationships/hyperlink" Target="#nameddest=44371_2026_821_Article.indd%3AEqu2-DES%3A194" TargetMode="External"/><Relationship Id="rId89" Type="http://schemas.openxmlformats.org/officeDocument/2006/relationships/hyperlink" Target="#nameddest=44371_2026_821_Article.indd%3ATab1-DES%3A195" TargetMode="External"/><Relationship Id="rId90" Type="http://schemas.openxmlformats.org/officeDocument/2006/relationships/image" Target="media/image40.png"/><Relationship Id="rId91" Type="http://schemas.openxmlformats.org/officeDocument/2006/relationships/image" Target="media/image41.png"/><Relationship Id="rId92" Type="http://schemas.openxmlformats.org/officeDocument/2006/relationships/image" Target="media/image42.png"/><Relationship Id="rId93" Type="http://schemas.openxmlformats.org/officeDocument/2006/relationships/image" Target="media/image43.png"/><Relationship Id="rId94" Type="http://schemas.openxmlformats.org/officeDocument/2006/relationships/image" Target="media/image44.png"/><Relationship Id="rId95" Type="http://schemas.openxmlformats.org/officeDocument/2006/relationships/image" Target="media/image45.png"/><Relationship Id="rId96" Type="http://schemas.openxmlformats.org/officeDocument/2006/relationships/hyperlink" Target="#nameddest=44371_2026_821_Article.indd%3AFig2-DES%3A196" TargetMode="External"/><Relationship Id="rId97" Type="http://schemas.openxmlformats.org/officeDocument/2006/relationships/hyperlink" Target="#nameddest=44371_2026_821_Article.indd%3AFig3-DES%3A197" TargetMode="External"/><Relationship Id="rId98" Type="http://schemas.openxmlformats.org/officeDocument/2006/relationships/hyperlink" Target="#nameddest=44371_2026_821_Article.indd%3ATab2-DES%3A198" TargetMode="External"/><Relationship Id="rId99" Type="http://schemas.openxmlformats.org/officeDocument/2006/relationships/hyperlink" Target="#nameddest=44371_2026_821_Article.indd%3ATab3-DES%3A199" TargetMode="External"/><Relationship Id="rId100" Type="http://schemas.openxmlformats.org/officeDocument/2006/relationships/hyperlink" Target="#nameddest=44371_2026_821_Article.indd%3ATab4-DES%3A200" TargetMode="External"/><Relationship Id="rId101" Type="http://schemas.openxmlformats.org/officeDocument/2006/relationships/hyperlink" Target="#nameddest=44371_2026_821_Article.indd%3ATab5-DES%3A201" TargetMode="External"/><Relationship Id="rId102" Type="http://schemas.openxmlformats.org/officeDocument/2006/relationships/image" Target="media/image46.png"/><Relationship Id="rId103" Type="http://schemas.openxmlformats.org/officeDocument/2006/relationships/image" Target="media/image47.png"/><Relationship Id="rId104" Type="http://schemas.openxmlformats.org/officeDocument/2006/relationships/image" Target="media/image48.png"/><Relationship Id="rId105" Type="http://schemas.openxmlformats.org/officeDocument/2006/relationships/image" Target="media/image49.png"/><Relationship Id="rId106" Type="http://schemas.openxmlformats.org/officeDocument/2006/relationships/image" Target="media/image50.png"/><Relationship Id="rId107" Type="http://schemas.openxmlformats.org/officeDocument/2006/relationships/image" Target="media/image51.png"/><Relationship Id="rId108" Type="http://schemas.openxmlformats.org/officeDocument/2006/relationships/image" Target="media/image52.png"/><Relationship Id="rId109" Type="http://schemas.openxmlformats.org/officeDocument/2006/relationships/hyperlink" Target="#nameddest=44371_2026_821_Article.indd%3ACR36-DES%3A137" TargetMode="External"/><Relationship Id="rId110" Type="http://schemas.openxmlformats.org/officeDocument/2006/relationships/hyperlink" Target="#nameddest=44371_2026_821_Article.indd%3ACR40-DES%3A138" TargetMode="External"/><Relationship Id="rId111" Type="http://schemas.openxmlformats.org/officeDocument/2006/relationships/image" Target="media/image53.png"/><Relationship Id="rId112" Type="http://schemas.openxmlformats.org/officeDocument/2006/relationships/hyperlink" Target="#nameddest=44371_2026_821_Article.indd%3ACR41-DES%3A139" TargetMode="External"/><Relationship Id="rId113" Type="http://schemas.openxmlformats.org/officeDocument/2006/relationships/hyperlink" Target="#nameddest=44371_2026_821_Article.indd%3ACR44-DES%3A140" TargetMode="External"/><Relationship Id="rId114" Type="http://schemas.openxmlformats.org/officeDocument/2006/relationships/hyperlink" Target="#nameddest=44371_2026_821_Article.indd%3ACR45-DES%3A141" TargetMode="External"/><Relationship Id="rId115" Type="http://schemas.openxmlformats.org/officeDocument/2006/relationships/hyperlink" Target="#nameddest=44371_2026_821_Article.indd%3ACR48-DES%3A142" TargetMode="External"/><Relationship Id="rId116" Type="http://schemas.openxmlformats.org/officeDocument/2006/relationships/hyperlink" Target="#nameddest=44371_2026_821_Article.indd%3ACR49-DES%3A143" TargetMode="External"/><Relationship Id="rId117" Type="http://schemas.openxmlformats.org/officeDocument/2006/relationships/hyperlink" Target="#nameddest=44371_2026_821_Article.indd%3ACR50-DES%3A144" TargetMode="External"/><Relationship Id="rId118" Type="http://schemas.openxmlformats.org/officeDocument/2006/relationships/hyperlink" Target="#nameddest=44371_2026_821_Article.indd%3ACR51-DES%3A145" TargetMode="External"/><Relationship Id="rId119" Type="http://schemas.openxmlformats.org/officeDocument/2006/relationships/hyperlink" Target="#nameddest=44371_2026_821_Article.indd%3ACR52-DES%3A146" TargetMode="External"/><Relationship Id="rId120" Type="http://schemas.openxmlformats.org/officeDocument/2006/relationships/hyperlink" Target="#nameddest=44371_2026_821_Article.indd%3ACR53-DES%3A147" TargetMode="External"/><Relationship Id="rId121" Type="http://schemas.openxmlformats.org/officeDocument/2006/relationships/hyperlink" Target="#nameddest=44371_2026_821_Article.indd%3ACR54-DES%3A148" TargetMode="External"/><Relationship Id="rId122" Type="http://schemas.openxmlformats.org/officeDocument/2006/relationships/hyperlink" Target="#nameddest=44371_2026_821_Article.indd%3ACR55-DES%3A149" TargetMode="External"/><Relationship Id="rId123" Type="http://schemas.openxmlformats.org/officeDocument/2006/relationships/hyperlink" Target="#nameddest=44371_2026_821_Article.indd%3ACR56-DES%3A150" TargetMode="External"/><Relationship Id="rId124" Type="http://schemas.openxmlformats.org/officeDocument/2006/relationships/hyperlink" Target="#nameddest=44371_2026_821_Article.indd%3ACR57-DES%3A151" TargetMode="External"/><Relationship Id="rId125" Type="http://schemas.openxmlformats.org/officeDocument/2006/relationships/hyperlink" Target="#nameddest=44371_2026_821_Article.indd%3ACR58-DES%3A152" TargetMode="External"/><Relationship Id="rId126" Type="http://schemas.openxmlformats.org/officeDocument/2006/relationships/hyperlink" Target="#nameddest=44371_2026_821_Article.indd%3ACR59-DES%3A153" TargetMode="External"/><Relationship Id="rId127" Type="http://schemas.openxmlformats.org/officeDocument/2006/relationships/hyperlink" Target="#nameddest=44371_2026_821_Article.indd%3ACR60-DES%3A154" TargetMode="External"/><Relationship Id="rId128" Type="http://schemas.openxmlformats.org/officeDocument/2006/relationships/hyperlink" Target="#nameddest=44371_2026_821_Article.indd%3ACR61-DES%3A155" TargetMode="External"/><Relationship Id="rId129" Type="http://schemas.openxmlformats.org/officeDocument/2006/relationships/hyperlink" Target="#nameddest=44371_2026_821_Article.indd%3ACR62-DES%3A156" TargetMode="External"/><Relationship Id="rId130" Type="http://schemas.openxmlformats.org/officeDocument/2006/relationships/hyperlink" Target="#nameddest=44371_2026_821_Article.indd%3ACR63-DES%3A157" TargetMode="External"/><Relationship Id="rId131" Type="http://schemas.openxmlformats.org/officeDocument/2006/relationships/hyperlink" Target="#nameddest=44371_2026_821_Article.indd%3ACR64-DES%3A158" TargetMode="External"/><Relationship Id="rId132" Type="http://schemas.openxmlformats.org/officeDocument/2006/relationships/hyperlink" Target="#nameddest=44371_2026_821_Article.indd%3ACR65-DES%3A159" TargetMode="External"/><Relationship Id="rId133" Type="http://schemas.openxmlformats.org/officeDocument/2006/relationships/hyperlink" Target="#nameddest=44371_2026_821_Article.indd%3ACR67-DES%3A160" TargetMode="External"/><Relationship Id="rId134" Type="http://schemas.openxmlformats.org/officeDocument/2006/relationships/hyperlink" Target="#nameddest=44371_2026_821_Article.indd%3ACR68-DES%3A161" TargetMode="External"/><Relationship Id="rId135" Type="http://schemas.openxmlformats.org/officeDocument/2006/relationships/hyperlink" Target="https://doi.org/10.3389/fnut.2025.1721761" TargetMode="External"/><Relationship Id="rId136" Type="http://schemas.openxmlformats.org/officeDocument/2006/relationships/hyperlink" Target="https://doi.org/10.3389/fnut.2025.1468513" TargetMode="External"/><Relationship Id="rId137" Type="http://schemas.openxmlformats.org/officeDocument/2006/relationships/hyperlink" Target="https://doi.org/10.3390/molecules30153269" TargetMode="External"/><Relationship Id="rId138" Type="http://schemas.openxmlformats.org/officeDocument/2006/relationships/hyperlink" Target="https://doi.org/10.1186/s12944-025-02676-6" TargetMode="External"/><Relationship Id="rId139" Type="http://schemas.openxmlformats.org/officeDocument/2006/relationships/hyperlink" Target="https://doi.org/10.1186/s12986-021-00624-6" TargetMode="External"/><Relationship Id="rId140" Type="http://schemas.openxmlformats.org/officeDocument/2006/relationships/hyperlink" Target="https://doi.org/10.3390/foods13233845" TargetMode="External"/><Relationship Id="rId141" Type="http://schemas.openxmlformats.org/officeDocument/2006/relationships/image" Target="media/image54.png"/><Relationship Id="rId142" Type="http://schemas.openxmlformats.org/officeDocument/2006/relationships/hyperlink" Target="https://doi.org/10.5772/intechopen.83544" TargetMode="External"/><Relationship Id="rId143" Type="http://schemas.openxmlformats.org/officeDocument/2006/relationships/hyperlink" Target="https://doi.org/10.3390/ijms25063264" TargetMode="External"/><Relationship Id="rId144" Type="http://schemas.openxmlformats.org/officeDocument/2006/relationships/hyperlink" Target="https://hdl.handle.net/10568/104869" TargetMode="External"/><Relationship Id="rId145" Type="http://schemas.openxmlformats.org/officeDocument/2006/relationships/hyperlink" Target="https://doi.org/10.1016/j.napere.2022.100016" TargetMode="External"/><Relationship Id="rId146" Type="http://schemas.openxmlformats.org/officeDocument/2006/relationships/hyperlink" Target="https://doi.org/10.3390/pr12020244" TargetMode="External"/><Relationship Id="rId147" Type="http://schemas.openxmlformats.org/officeDocument/2006/relationships/hyperlink" Target="https://doi.org/10.1016/j.focha.2024.100755" TargetMode="External"/><Relationship Id="rId148" Type="http://schemas.openxmlformats.org/officeDocument/2006/relationships/hyperlink" Target="https://doi.org/10.1186/s12906-023-03923-y" TargetMode="External"/><Relationship Id="rId149" Type="http://schemas.openxmlformats.org/officeDocument/2006/relationships/hyperlink" Target="https://doi.org/10.1016/j.fochx.2022.100217" TargetMode="External"/><Relationship Id="rId150" Type="http://schemas.openxmlformats.org/officeDocument/2006/relationships/hyperlink" Target="https://doi.org/10.1016/j.focha.2023.100191" TargetMode="External"/><Relationship Id="rId151" Type="http://schemas.openxmlformats.org/officeDocument/2006/relationships/hyperlink" Target="https://doi.org/10.1007/s11746-997-0180-3" TargetMode="External"/><Relationship Id="rId152" Type="http://schemas.openxmlformats.org/officeDocument/2006/relationships/hyperlink" Target="https://doi.org/10.1016/j.sjbs.2022.02.043" TargetMode="External"/><Relationship Id="rId153" Type="http://schemas.openxmlformats.org/officeDocument/2006/relationships/hyperlink" Target="https://doi.org/10.3390/agronomy14071527" TargetMode="External"/><Relationship Id="rId154" Type="http://schemas.openxmlformats.org/officeDocument/2006/relationships/hyperlink" Target="https://doi.org/10.3390/molecules29225430" TargetMode="External"/><Relationship Id="rId155" Type="http://schemas.openxmlformats.org/officeDocument/2006/relationships/hyperlink" Target="https://doi.org/10.1016/j.foodchem.2020.127776" TargetMode="External"/><Relationship Id="rId156" Type="http://schemas.openxmlformats.org/officeDocument/2006/relationships/hyperlink" Target="https://doi.org/10.1016/j.focha.2024.100611" TargetMode="External"/><Relationship Id="rId157" Type="http://schemas.openxmlformats.org/officeDocument/2006/relationships/hyperlink" Target="https://doi.org/10.1007/s11745-015-4113-x" TargetMode="External"/><Relationship Id="rId158" Type="http://schemas.openxmlformats.org/officeDocument/2006/relationships/hyperlink" Target="https://doi.org/10.1016/j.bcab.2018.12.018" TargetMode="External"/><Relationship Id="rId159" Type="http://schemas.openxmlformats.org/officeDocument/2006/relationships/hyperlink" Target="https://doi.org/10.1016/j.biochi.2020.09.019" TargetMode="External"/><Relationship Id="rId160" Type="http://schemas.openxmlformats.org/officeDocument/2006/relationships/hyperlink" Target="https://doi.org/10.1038/s41514-025-00250-z" TargetMode="External"/><Relationship Id="rId161" Type="http://schemas.openxmlformats.org/officeDocument/2006/relationships/hyperlink" Target="https://doi.org/10.1177/2515690X2093798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