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autoSpaceDN w:val="0"/>
        <w:autoSpaceDE w:val="0"/>
        <w:widowControl/>
        <w:spacing w:line="46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5548630</wp:posOffset>
            </wp:positionH>
            <wp:positionV relativeFrom="page">
              <wp:posOffset>1277620</wp:posOffset>
            </wp:positionV>
            <wp:extent cx="1383029" cy="106426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383029" cy="106426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6489700</wp:posOffset>
            </wp:positionH>
            <wp:positionV relativeFrom="page">
              <wp:posOffset>2070100</wp:posOffset>
            </wp:positionV>
            <wp:extent cx="107950" cy="88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88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6496050</wp:posOffset>
            </wp:positionH>
            <wp:positionV relativeFrom="page">
              <wp:posOffset>2038350</wp:posOffset>
            </wp:positionV>
            <wp:extent cx="10160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0160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6483350</wp:posOffset>
            </wp:positionH>
            <wp:positionV relativeFrom="page">
              <wp:posOffset>2139950</wp:posOffset>
            </wp:positionV>
            <wp:extent cx="10160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0160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6711950</wp:posOffset>
            </wp:positionH>
            <wp:positionV relativeFrom="page">
              <wp:posOffset>2089150</wp:posOffset>
            </wp:positionV>
            <wp:extent cx="69850" cy="762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9850" cy="762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6635750</wp:posOffset>
            </wp:positionH>
            <wp:positionV relativeFrom="page">
              <wp:posOffset>2063750</wp:posOffset>
            </wp:positionV>
            <wp:extent cx="76200" cy="1016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016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6775450</wp:posOffset>
            </wp:positionH>
            <wp:positionV relativeFrom="page">
              <wp:posOffset>2076450</wp:posOffset>
            </wp:positionV>
            <wp:extent cx="82550" cy="1206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82550" cy="1206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6851650</wp:posOffset>
            </wp:positionH>
            <wp:positionV relativeFrom="page">
              <wp:posOffset>2089150</wp:posOffset>
            </wp:positionV>
            <wp:extent cx="76200" cy="762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762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6083300</wp:posOffset>
            </wp:positionH>
            <wp:positionV relativeFrom="page">
              <wp:posOffset>528320</wp:posOffset>
            </wp:positionV>
            <wp:extent cx="848359" cy="5511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848359" cy="5511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6096000</wp:posOffset>
            </wp:positionH>
            <wp:positionV relativeFrom="page">
              <wp:posOffset>920750</wp:posOffset>
            </wp:positionV>
            <wp:extent cx="781050" cy="165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81050" cy="165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6083300</wp:posOffset>
            </wp:positionH>
            <wp:positionV relativeFrom="page">
              <wp:posOffset>723900</wp:posOffset>
            </wp:positionV>
            <wp:extent cx="82550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82550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6076950</wp:posOffset>
            </wp:positionH>
            <wp:positionV relativeFrom="page">
              <wp:posOffset>527050</wp:posOffset>
            </wp:positionV>
            <wp:extent cx="857250" cy="1905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905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9827260</wp:posOffset>
            </wp:positionV>
            <wp:extent cx="613791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3791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787400</wp:posOffset>
            </wp:positionH>
            <wp:positionV relativeFrom="page">
              <wp:posOffset>9829800</wp:posOffset>
            </wp:positionV>
            <wp:extent cx="6223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223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1187450</wp:posOffset>
            </wp:positionV>
            <wp:extent cx="613791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3791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4025900</wp:posOffset>
            </wp:positionH>
            <wp:positionV relativeFrom="page">
              <wp:posOffset>2743200</wp:posOffset>
            </wp:positionV>
            <wp:extent cx="1587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587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4064000</wp:posOffset>
            </wp:positionH>
            <wp:positionV relativeFrom="page">
              <wp:posOffset>2794000</wp:posOffset>
            </wp:positionV>
            <wp:extent cx="19050" cy="698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9050" cy="698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4089400</wp:posOffset>
            </wp:positionH>
            <wp:positionV relativeFrom="page">
              <wp:posOffset>2794000</wp:posOffset>
            </wp:positionV>
            <wp:extent cx="63500" cy="698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3500" cy="698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4064000</wp:posOffset>
            </wp:positionH>
            <wp:positionV relativeFrom="page">
              <wp:posOffset>2774950</wp:posOffset>
            </wp:positionV>
            <wp:extent cx="19050" cy="190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9050" cy="190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3937000</wp:posOffset>
            </wp:positionH>
            <wp:positionV relativeFrom="page">
              <wp:posOffset>7510780</wp:posOffset>
            </wp:positionV>
            <wp:extent cx="2997200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997200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162560</wp:posOffset>
            </wp:positionH>
            <wp:positionV relativeFrom="page">
              <wp:posOffset>125730</wp:posOffset>
            </wp:positionV>
            <wp:extent cx="5922010" cy="11429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22010" cy="11429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527050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533400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539750</wp:posOffset>
            </wp:positionH>
            <wp:positionV relativeFrom="page">
              <wp:posOffset>25400</wp:posOffset>
            </wp:positionV>
            <wp:extent cx="20955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546100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552450</wp:posOffset>
            </wp:positionH>
            <wp:positionV relativeFrom="page">
              <wp:posOffset>31750</wp:posOffset>
            </wp:positionV>
            <wp:extent cx="209550" cy="2095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2095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552450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558800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565150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571500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584200</wp:posOffset>
            </wp:positionH>
            <wp:positionV relativeFrom="page">
              <wp:posOffset>25400</wp:posOffset>
            </wp:positionV>
            <wp:extent cx="20955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590550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603250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609600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615950</wp:posOffset>
            </wp:positionH>
            <wp:positionV relativeFrom="page">
              <wp:posOffset>25400</wp:posOffset>
            </wp:positionV>
            <wp:extent cx="20955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622300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628650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641350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647700</wp:posOffset>
            </wp:positionH>
            <wp:positionV relativeFrom="page">
              <wp:posOffset>25400</wp:posOffset>
            </wp:positionV>
            <wp:extent cx="20955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0955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660400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666750</wp:posOffset>
            </wp:positionH>
            <wp:positionV relativeFrom="page">
              <wp:posOffset>25400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139700</wp:posOffset>
            </wp:positionH>
            <wp:positionV relativeFrom="page">
              <wp:posOffset>38100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146050</wp:posOffset>
            </wp:positionH>
            <wp:positionV relativeFrom="page">
              <wp:posOffset>38100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152400</wp:posOffset>
            </wp:positionH>
            <wp:positionV relativeFrom="page">
              <wp:posOffset>38100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158750</wp:posOffset>
            </wp:positionH>
            <wp:positionV relativeFrom="page">
              <wp:posOffset>38100</wp:posOffset>
            </wp:positionV>
            <wp:extent cx="215900" cy="2159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215900" cy="2159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317500</wp:posOffset>
            </wp:positionH>
            <wp:positionV relativeFrom="page">
              <wp:posOffset>63500</wp:posOffset>
            </wp:positionV>
            <wp:extent cx="812800" cy="165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812800" cy="1651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132" w:lineRule="exact" w:before="0" w:after="0"/>
        <w:ind w:left="16" w:right="0" w:firstLine="0"/>
        <w:jc w:val="left"/>
      </w:pPr>
      <w:r>
        <w:rPr>
          <w:spacing w:val="-10"/>
          <w:rFonts w:ascii="TimesNewRomanPS" w:hAnsi="TimesNewRomanPS" w:eastAsia="TimesNewRomanPS"/>
          <w:b/>
          <w:color w:val="FFFFFF"/>
          <w:sz w:val="19"/>
        </w:rPr>
        <w:t>14</w:t>
      </w:r>
      <w:hyperlink r:id="rId9" w:history="1">
        <w:r>
          <w:rPr>
            <w:rStyle w:val="Hyperlink"/>
            <w:rFonts w:ascii="TimesNewRomanPS" w:hAnsi="TimesNewRomanPS" w:eastAsia="TimesNewRomanPS" w:cs="TimesNewRomanPS"/>
            <w:sz w:val="19.0"/>
            <w:b/>
            <w:color w:val="FFFFFF"/>
            <w:spacing w:val="-10"/>
          </w:rPr>
          <w:t>53444</w:t>
        </w:r>
      </w:hyperlink>
      <w:hyperlink r:id="rId9" w:history="1">
        <w:r>
          <w:rPr>
            <w:rStyle w:val="Hyperlink"/>
            <w:rFonts w:ascii="GillSansMTPro" w:hAnsi="GillSansMTPro" w:eastAsia="GillSansMTPro" w:cs="GillSansMTPro"/>
            <w:sz w:val="2.0"/>
            <w:color w:val="FFFFFF"/>
            <w:spacing w:val="-10"/>
          </w:rPr>
          <w:t xml:space="preserve"> CHL</w:t>
        </w:r>
      </w:hyperlink>
      <w:hyperlink r:id="rId9" w:history="1">
        <w:r>
          <w:rPr>
            <w:rStyle w:val="Hyperlink"/>
            <w:rFonts w:ascii="TimesNewRomanPSMT" w:hAnsi="TimesNewRomanPSMT" w:eastAsia="TimesNewRomanPSMT" w:cs="TimesNewRomanPSMT"/>
            <w:sz w:val="2.0"/>
            <w:color w:val="FFFFFF"/>
            <w:spacing w:val="-10"/>
          </w:rPr>
          <w:t>0010.1177/17475198261453444Journal of Chemical ResearchAbubakari et al.</w:t>
        </w:r>
      </w:hyperlink>
    </w:p>
    <w:p>
      <w:pPr>
        <w:autoSpaceDN w:val="0"/>
        <w:autoSpaceDE w:val="0"/>
        <w:widowControl/>
        <w:spacing w:line="14" w:lineRule="exact" w:before="2" w:after="0"/>
        <w:ind w:left="16" w:right="0" w:firstLine="0"/>
        <w:jc w:val="left"/>
      </w:pPr>
      <w:r>
        <w:rPr>
          <w:spacing w:val="-10"/>
          <w:rFonts w:ascii="TimesNewRomanPS" w:hAnsi="TimesNewRomanPS" w:eastAsia="TimesNewRomanPS"/>
          <w:i/>
          <w:color w:val="FFFFFF"/>
          <w:sz w:val="2"/>
        </w:rPr>
        <w:t>research-article</w:t>
      </w:r>
      <w:r>
        <w:rPr>
          <w:spacing w:val="-10"/>
          <w:rFonts w:ascii="TimesNewRomanPSMT" w:hAnsi="TimesNewRomanPSMT" w:eastAsia="TimesNewRomanPSMT"/>
          <w:color w:val="FFFFFF"/>
          <w:sz w:val="2"/>
        </w:rPr>
        <w:t>2026</w:t>
      </w:r>
    </w:p>
    <w:p>
      <w:pPr>
        <w:autoSpaceDN w:val="0"/>
        <w:autoSpaceDE w:val="0"/>
        <w:widowControl/>
        <w:spacing w:line="184" w:lineRule="exact" w:before="1322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i/>
          <w:color w:val="231F20"/>
          <w:sz w:val="20"/>
        </w:rPr>
        <w:t>Original Research Article</w:t>
      </w:r>
    </w:p>
    <w:p>
      <w:pPr>
        <w:autoSpaceDN w:val="0"/>
        <w:autoSpaceDE w:val="0"/>
        <w:widowControl/>
        <w:spacing w:line="128" w:lineRule="exact" w:before="268" w:after="20"/>
        <w:ind w:left="0" w:right="750" w:firstLine="0"/>
        <w:jc w:val="right"/>
      </w:pPr>
      <w:r>
        <w:rPr>
          <w:spacing w:val="-10"/>
          <w:rFonts w:ascii="GillSansMTPro" w:hAnsi="GillSansMTPro" w:eastAsia="GillSansMTPro"/>
          <w:color w:val="231F20"/>
          <w:sz w:val="14"/>
        </w:rPr>
        <w:t>Journal of Chemical Research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7600" w:type="dxa"/>
        <w:gridCol w:w="2940" w:type="dxa"/>
      </w:tblGrid>
      <w:tr>
        <w:trPr>
          <w:trHeight w:hRule="exact" w:val="1116"/>
        </w:trPr>
        <w:tc>
          <w:tcPr>
            <w:tcW w:type="dxa" w:w="7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360" w:lineRule="exact" w:before="0" w:after="0"/>
              <w:ind w:left="508" w:right="432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32"/>
              </w:rPr>
              <w:t>The effects of</w:t>
            </w:r>
            <w:r>
              <w:rPr>
                <w:spacing w:val="-10"/>
                <w:rFonts w:ascii="Calibri" w:hAnsi="Calibri" w:eastAsia="Calibri"/>
                <w:b/>
                <w:color w:val="231F20"/>
                <w:sz w:val="32"/>
              </w:rPr>
              <w:t xml:space="preserve"> π</w:t>
            </w: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32"/>
              </w:rPr>
              <w:t xml:space="preserve">-spacer on electronic </w:t>
            </w:r>
            <w:r>
              <w:br/>
            </w: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32"/>
              </w:rPr>
              <w:t xml:space="preserve">properties, charge transfer, and chemical </w:t>
            </w:r>
            <w:r>
              <w:br/>
            </w: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32"/>
              </w:rPr>
              <w:t>reactivity in D-A</w:t>
            </w:r>
            <w:r>
              <w:rPr>
                <w:spacing w:val="-10"/>
                <w:rFonts w:ascii="Calibri" w:hAnsi="Calibri" w:eastAsia="Calibri"/>
                <w:b/>
                <w:color w:val="231F20"/>
                <w:sz w:val="32"/>
              </w:rPr>
              <w:t>′</w:t>
            </w: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32"/>
              </w:rPr>
              <w:t>-</w:t>
            </w:r>
            <w:r>
              <w:rPr>
                <w:spacing w:val="-10"/>
                <w:rFonts w:ascii="Calibri" w:hAnsi="Calibri" w:eastAsia="Calibri"/>
                <w:b/>
                <w:color w:val="231F20"/>
                <w:sz w:val="32"/>
              </w:rPr>
              <w:t>π</w:t>
            </w: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32"/>
              </w:rPr>
              <w:t>-A configured molecules:</w:t>
            </w:r>
          </w:p>
        </w:tc>
        <w:tc>
          <w:tcPr>
            <w:tcW w:type="dxa" w:w="2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0" w:after="0"/>
              <w:ind w:left="576" w:right="36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4"/>
              </w:rPr>
              <w:t>May-June 1–10</w:t>
            </w:r>
            <w:r>
              <w:br/>
            </w:r>
            <w:r>
              <w:rPr>
                <w:spacing w:val="-10"/>
                <w:rFonts w:ascii="GillSansMTPro" w:hAnsi="GillSansMTPro" w:eastAsia="GillSansMTPro"/>
                <w:color w:val="231F20"/>
                <w:sz w:val="14"/>
              </w:rPr>
              <w:t xml:space="preserve">© The Author(s) 2026 </w:t>
            </w:r>
            <w:r>
              <w:br/>
            </w:r>
            <w:hyperlink r:id="rId10" w:history="1">
              <w:r>
                <w:rPr>
                  <w:rStyle w:val="Hyperlink"/>
                  <w:rFonts w:ascii="GillSansMTPro" w:hAnsi="GillSansMTPro" w:eastAsia="GillSansMTPro" w:cs="GillSansMTPro"/>
                  <w:sz w:val="14.0"/>
                  <w:color w:val="231F20"/>
                  <w:spacing w:val="-10"/>
                </w:rPr>
                <w:t xml:space="preserve">Article reuse guidelines: </w:t>
              </w:r>
            </w:hyperlink>
            <w:r>
              <w:br/>
            </w:r>
            <w:hyperlink r:id="rId10" w:history="1">
              <w:r>
                <w:rPr>
                  <w:rStyle w:val="Hyperlink"/>
                  <w:rFonts w:ascii="GillSansMTPro" w:hAnsi="GillSansMTPro" w:eastAsia="GillSansMTPro" w:cs="GillSansMTPro"/>
                  <w:sz w:val="14.0"/>
                  <w:color w:val="231F20"/>
                  <w:spacing w:val="-10"/>
                </w:rPr>
                <w:t>sagepub.com/journals-permissions</w:t>
              </w:r>
            </w:hyperlink>
          </w:p>
          <w:p>
            <w:pPr>
              <w:autoSpaceDN w:val="0"/>
              <w:autoSpaceDE w:val="0"/>
              <w:widowControl/>
              <w:spacing w:line="98" w:lineRule="exact" w:before="42" w:after="0"/>
              <w:ind w:left="57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4"/>
              </w:rPr>
              <w:t>DO</w:t>
            </w:r>
            <w:hyperlink r:id="rId11" w:history="1">
              <w:r>
                <w:rPr>
                  <w:rStyle w:val="Hyperlink"/>
                  <w:rFonts w:ascii="GillSansMTPro" w:hAnsi="GillSansMTPro" w:eastAsia="GillSansMTPro" w:cs="GillSansMTPro"/>
                  <w:sz w:val="14.0"/>
                  <w:color w:val="231F20"/>
                  <w:spacing w:val="-10"/>
                </w:rPr>
                <w:t>I: 10.1177/17475198261453444</w:t>
              </w:r>
            </w:hyperlink>
          </w:p>
          <w:p>
            <w:pPr>
              <w:autoSpaceDN w:val="0"/>
              <w:autoSpaceDE w:val="0"/>
              <w:widowControl/>
              <w:spacing w:line="128" w:lineRule="exact" w:before="72" w:after="0"/>
              <w:ind w:left="0" w:right="364" w:firstLine="0"/>
              <w:jc w:val="right"/>
            </w:pPr>
            <w:hyperlink r:id="rId11" w:history="1">
              <w:r>
                <w:rPr>
                  <w:rStyle w:val="Hyperlink"/>
                  <w:rFonts w:ascii="GillSansMTPro" w:hAnsi="GillSansMTPro" w:eastAsia="GillSansMTPro" w:cs="GillSansMTPro"/>
                  <w:sz w:val="14.0"/>
                  <w:color w:val="231F20"/>
                  <w:spacing w:val="-10"/>
                </w:rPr>
                <w:t>journals.sagepub.com/home/chl</w:t>
              </w:r>
            </w:hyperlink>
          </w:p>
        </w:tc>
      </w:tr>
    </w:tbl>
    <w:p>
      <w:pPr>
        <w:autoSpaceDN w:val="0"/>
        <w:autoSpaceDE w:val="0"/>
        <w:widowControl/>
        <w:spacing w:line="292" w:lineRule="exact" w:before="34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32"/>
        </w:rPr>
        <w:t>Computational approach</w:t>
      </w:r>
    </w:p>
    <w:p>
      <w:pPr>
        <w:autoSpaceDN w:val="0"/>
        <w:autoSpaceDE w:val="0"/>
        <w:widowControl/>
        <w:spacing w:line="244" w:lineRule="exact" w:before="738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4"/>
        </w:rPr>
        <w:t>Ismail Abubakari</w:t>
      </w:r>
      <w:r>
        <w:rPr>
          <w:spacing w:val="-10"/>
          <w:w w:val="97.50000238418579"/>
          <w:rFonts w:ascii="GillSansMTPro" w:hAnsi="GillSansMTPro" w:eastAsia="GillSansMTPro"/>
          <w:b/>
          <w:color w:val="231F20"/>
          <w:sz w:val="16"/>
        </w:rPr>
        <w:t>1</w:t>
      </w:r>
      <w:r>
        <w:rPr>
          <w:spacing w:val="-10"/>
          <w:rFonts w:ascii="GillSansMTPro" w:hAnsi="GillSansMTPro" w:eastAsia="GillSansMTPro"/>
          <w:b/>
          <w:color w:val="231F20"/>
          <w:sz w:val="24"/>
        </w:rPr>
        <w:t>, Michael Kennedy Sanama</w:t>
      </w:r>
      <w:r>
        <w:rPr>
          <w:spacing w:val="-10"/>
          <w:w w:val="97.50000238418579"/>
          <w:rFonts w:ascii="GillSansMTPro" w:hAnsi="GillSansMTPro" w:eastAsia="GillSansMTPro"/>
          <w:b/>
          <w:color w:val="231F20"/>
          <w:sz w:val="16"/>
        </w:rPr>
        <w:t>2</w:t>
      </w:r>
    </w:p>
    <w:p>
      <w:pPr>
        <w:autoSpaceDN w:val="0"/>
        <w:autoSpaceDE w:val="0"/>
        <w:widowControl/>
        <w:spacing w:line="194" w:lineRule="exact" w:before="36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4"/>
        </w:rPr>
        <w:t>and Melkizedeck Hiiti Tsere</w:t>
      </w:r>
      <w:r>
        <w:rPr>
          <w:spacing w:val="-10"/>
          <w:w w:val="97.50000238418579"/>
          <w:rFonts w:ascii="GillSansMTPro" w:hAnsi="GillSansMTPro" w:eastAsia="GillSansMTPro"/>
          <w:b/>
          <w:color w:val="231F20"/>
          <w:sz w:val="16"/>
        </w:rPr>
        <w:t>3</w:t>
      </w:r>
    </w:p>
    <w:p>
      <w:pPr>
        <w:autoSpaceDN w:val="0"/>
        <w:autoSpaceDE w:val="0"/>
        <w:widowControl/>
        <w:spacing w:line="138" w:lineRule="exact" w:before="820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0"/>
        </w:rPr>
        <w:t>Abstract</w:t>
      </w:r>
    </w:p>
    <w:p>
      <w:pPr>
        <w:autoSpaceDN w:val="0"/>
        <w:autoSpaceDE w:val="0"/>
        <w:widowControl/>
        <w:spacing w:line="240" w:lineRule="exact" w:before="46" w:after="0"/>
        <w:ind w:left="1008" w:right="752" w:firstLine="0"/>
        <w:jc w:val="both"/>
      </w:pPr>
      <w:r>
        <w:rPr>
          <w:spacing w:val="-10"/>
          <w:rFonts w:ascii="GillSansMTPro" w:hAnsi="GillSansMTPro" w:eastAsia="GillSansMTPro"/>
          <w:color w:val="231F20"/>
          <w:sz w:val="20"/>
        </w:rPr>
        <w:t>In this work, a systematic modification of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-spacer was carried out to evaluate its influence on molecular geometry,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>electronic structure, charge transport properties, and global chemical reactivity descriptors in a series of D-A</w:t>
      </w:r>
      <w:r>
        <w:rPr>
          <w:spacing w:val="-10"/>
          <w:rFonts w:ascii="Calibri" w:hAnsi="Calibri" w:eastAsia="Calibri"/>
          <w:color w:val="231F20"/>
          <w:sz w:val="20"/>
        </w:rPr>
        <w:t>′</w:t>
      </w:r>
      <w:r>
        <w:rPr>
          <w:spacing w:val="-10"/>
          <w:rFonts w:ascii="GillSansMTPro" w:hAnsi="GillSansMTPro" w:eastAsia="GillSansMTPro"/>
          <w:color w:val="231F20"/>
          <w:sz w:val="20"/>
        </w:rPr>
        <w:t>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-A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organic molecules (M1–M4). Density functional theory was employed to analyze key parameters including dihedral angles,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highest occupied molecular orbital–lowest unoccupied molecular orbital energies, natural bond orbital interactions,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reorganization energies, ionization potential, electron affinity, chemical hardness, chemical potential, electronegativity,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and electrophilicity index. The results reveal that M4 demonstrates the most favorable combination of properties,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exhibiting the energy gap, reorganization energy, ionization potential, and chemical hardness of 1.4896, 0.4580, 4.8300,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and 0.7127 eV, respectively. M4 also shows the highest chemical potential, electronegativity, and electrophilicity index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>of −4.1174, 4.1174, and 11.8938 eV, respectively. These results demonstrate the critical role of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-spacer engineering in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>adjusting the electronic behavior of D-A</w:t>
      </w:r>
      <w:r>
        <w:rPr>
          <w:spacing w:val="-10"/>
          <w:rFonts w:ascii="Calibri" w:hAnsi="Calibri" w:eastAsia="Calibri"/>
          <w:color w:val="231F20"/>
          <w:sz w:val="20"/>
        </w:rPr>
        <w:t>′</w:t>
      </w:r>
      <w:r>
        <w:rPr>
          <w:spacing w:val="-10"/>
          <w:rFonts w:ascii="GillSansMTPro" w:hAnsi="GillSansMTPro" w:eastAsia="GillSansMTPro"/>
          <w:color w:val="231F20"/>
          <w:sz w:val="20"/>
        </w:rPr>
        <w:t>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GillSansMTPro" w:hAnsi="GillSansMTPro" w:eastAsia="GillSansMTPro"/>
          <w:color w:val="231F20"/>
          <w:sz w:val="20"/>
        </w:rPr>
        <w:t xml:space="preserve">-A systems and suggest that M4 is a promising candidate for high-performance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>organic semiconducting and optoelectronic uses.</w:t>
      </w:r>
    </w:p>
    <w:p>
      <w:pPr>
        <w:autoSpaceDN w:val="0"/>
        <w:autoSpaceDE w:val="0"/>
        <w:widowControl/>
        <w:spacing w:line="242" w:lineRule="exact" w:before="336" w:after="0"/>
        <w:ind w:left="1008" w:right="1728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0"/>
        </w:rPr>
        <w:t xml:space="preserve">Keywords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20"/>
        </w:rPr>
        <w:t>DFT, D-A</w:t>
      </w:r>
      <w:r>
        <w:rPr>
          <w:spacing w:val="-10"/>
          <w:rFonts w:ascii="Calibri" w:hAnsi="Calibri" w:eastAsia="Calibri"/>
          <w:color w:val="231F20"/>
          <w:sz w:val="20"/>
        </w:rPr>
        <w:t>′</w:t>
      </w:r>
      <w:r>
        <w:rPr>
          <w:spacing w:val="-10"/>
          <w:rFonts w:ascii="GillSansMTPro" w:hAnsi="GillSansMTPro" w:eastAsia="GillSansMTPro"/>
          <w:color w:val="231F20"/>
          <w:sz w:val="20"/>
        </w:rPr>
        <w:t>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GillSansMTPro" w:hAnsi="GillSansMTPro" w:eastAsia="GillSansMTPro"/>
          <w:color w:val="231F20"/>
          <w:sz w:val="20"/>
        </w:rPr>
        <w:t>-A, NBO, reorganization energy, global reactivity descriptors, charge transfer, HOMO-LUMO</w:t>
      </w:r>
    </w:p>
    <w:p>
      <w:pPr>
        <w:autoSpaceDN w:val="0"/>
        <w:autoSpaceDE w:val="0"/>
        <w:widowControl/>
        <w:spacing w:line="148" w:lineRule="exact" w:before="282" w:after="568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16"/>
        </w:rPr>
        <w:t>Received: 15 January 2026; accepted: 6 May 2026</w:t>
      </w:r>
    </w:p>
    <w:p>
      <w:pPr>
        <w:sectPr>
          <w:pgSz w:w="11906" w:h="16838"/>
          <w:pgMar w:top="44" w:right="240" w:bottom="50" w:left="240" w:header="720" w:footer="720" w:gutter="0"/>
          <w:cols/>
          <w:docGrid w:linePitch="360"/>
        </w:sectPr>
      </w:pPr>
    </w:p>
    <w:p>
      <w:pPr>
        <w:autoSpaceDN w:val="0"/>
        <w:tabs>
          <w:tab w:pos="5964" w:val="left"/>
        </w:tabs>
        <w:autoSpaceDE w:val="0"/>
        <w:widowControl/>
        <w:spacing w:line="168" w:lineRule="exact" w:before="0" w:after="3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4"/>
        </w:rPr>
        <w:t xml:space="preserve">Introduction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conjugation and ICT strength. Reorganization energies, for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1240" w:type="dxa"/>
        <w:gridCol w:w="1260" w:type="dxa"/>
        <w:gridCol w:w="1400" w:type="dxa"/>
        <w:gridCol w:w="840" w:type="dxa"/>
        <w:gridCol w:w="600" w:type="dxa"/>
        <w:gridCol w:w="5200" w:type="dxa"/>
      </w:tblGrid>
      <w:tr>
        <w:trPr>
          <w:trHeight w:hRule="exact" w:val="370"/>
        </w:trPr>
        <w:tc>
          <w:tcPr>
            <w:tcW w:type="dxa" w:w="1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74" w:after="0"/>
              <w:ind w:left="0" w:right="92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Organic</w:t>
            </w:r>
          </w:p>
        </w:tc>
        <w:tc>
          <w:tcPr>
            <w:tcW w:type="dxa" w:w="12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74" w:after="0"/>
              <w:ind w:left="0" w:right="0" w:firstLine="0"/>
              <w:jc w:val="center"/>
            </w:pP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-conjugated</w:t>
            </w:r>
          </w:p>
        </w:tc>
        <w:tc>
          <w:tcPr>
            <w:tcW w:type="dxa" w:w="1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7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donor-acceptor</w:t>
            </w:r>
          </w:p>
        </w:tc>
        <w:tc>
          <w:tcPr>
            <w:tcW w:type="dxa" w:w="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2" w:lineRule="exact" w:before="19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systems</w:t>
            </w:r>
          </w:p>
        </w:tc>
        <w:tc>
          <w:tcPr>
            <w:tcW w:type="dxa" w:w="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17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have</w:t>
            </w:r>
          </w:p>
        </w:tc>
        <w:tc>
          <w:tcPr>
            <w:tcW w:type="dxa" w:w="520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0" w:lineRule="exact" w:before="10" w:after="0"/>
              <w:ind w:left="124" w:right="288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both holes (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λ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hole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) and electrons (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λ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electron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), which describe the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energetic cost associated with molecular relaxation during</w:t>
            </w:r>
          </w:p>
          <w:p>
            <w:pPr>
              <w:autoSpaceDN w:val="0"/>
              <w:autoSpaceDE w:val="0"/>
              <w:widowControl/>
              <w:spacing w:line="182" w:lineRule="exact" w:before="58" w:after="0"/>
              <w:ind w:left="124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charge transfer, are equally important; lower reorganization</w:t>
            </w:r>
          </w:p>
        </w:tc>
      </w:tr>
      <w:tr>
        <w:trPr>
          <w:trHeight w:hRule="exact" w:val="484"/>
        </w:trPr>
        <w:tc>
          <w:tcPr>
            <w:tcW w:type="dxa" w:w="5340"/>
            <w:gridSpan w:val="5"/>
            <w:tcBorders/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32" w:lineRule="exact" w:before="0" w:after="0"/>
              <w:ind w:left="508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received considerable attention due to their broad applica-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bility in nonlinear optics, organic electronics, and photo-</w:t>
            </w:r>
          </w:p>
        </w:tc>
        <w:tc>
          <w:tcPr>
            <w:tcW w:type="dxa" w:w="1904"/>
            <w:vMerge/>
            <w:tcBorders/>
            <w:tcMar>
              <w:left w:w="0" w:type="dxa"/>
              <w:right w:w="0" w:type="dxa"/>
            </w:tcMar>
          </w:tcPr>
          <w:p/>
        </w:tc>
      </w:tr>
    </w:tbl>
    <w:p>
      <w:pPr>
        <w:autoSpaceDN w:val="0"/>
        <w:autoSpaceDE w:val="0"/>
        <w:widowControl/>
        <w:spacing w:line="202" w:lineRule="exact" w:before="2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voltaic technologies.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1–4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In these systems,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 that</w:t>
      </w:r>
    </w:p>
    <w:p>
      <w:pPr>
        <w:autoSpaceDN w:val="0"/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connects donor and acceptor units is critical for modulating</w:t>
      </w:r>
    </w:p>
    <w:p>
      <w:pPr>
        <w:autoSpaceDN w:val="0"/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intramolecular charge transfer (ICT), controlling molecular</w:t>
      </w:r>
    </w:p>
    <w:p>
      <w:pPr>
        <w:autoSpaceDN w:val="0"/>
        <w:autoSpaceDE w:val="0"/>
        <w:widowControl/>
        <w:spacing w:line="164" w:lineRule="exact" w:before="0" w:after="0"/>
        <w:ind w:left="0" w:right="1254" w:firstLine="0"/>
        <w:jc w:val="right"/>
      </w:pPr>
      <w:r>
        <w:rPr>
          <w:spacing w:val="-10"/>
          <w:w w:val="103.99999618530273"/>
          <w:rFonts w:ascii="GillSansMTPro" w:hAnsi="GillSansMTPro" w:eastAsia="GillSansMTPro"/>
          <w:color w:val="231F20"/>
          <w:sz w:val="10"/>
        </w:rPr>
        <w:t>1</w:t>
      </w:r>
      <w:r>
        <w:rPr>
          <w:spacing w:val="-10"/>
          <w:rFonts w:ascii="GillSansMTPro" w:hAnsi="GillSansMTPro" w:eastAsia="GillSansMTPro"/>
          <w:color w:val="231F20"/>
          <w:sz w:val="16"/>
        </w:rPr>
        <w:t>Department of Chemistry, College of Natural and Mathematical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planarity, and facilitating electronic coupling between sub-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16"/>
        </w:rPr>
        <w:t>Sciences, The University of Dodoma, United Republic of Tanzania</w:t>
      </w:r>
    </w:p>
    <w:p>
      <w:pPr>
        <w:autoSpaceDN w:val="0"/>
        <w:tabs>
          <w:tab w:pos="5960" w:val="left"/>
        </w:tabs>
        <w:autoSpaceDE w:val="0"/>
        <w:widowControl/>
        <w:spacing w:line="200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units.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5–7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Modifying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-spacer, especially through the </w:t>
      </w:r>
      <w:r>
        <w:tab/>
      </w:r>
      <w:r>
        <w:rPr>
          <w:spacing w:val="-10"/>
          <w:w w:val="103.99999618530273"/>
          <w:rFonts w:ascii="GillSansMTPro" w:hAnsi="GillSansMTPro" w:eastAsia="GillSansMTPro"/>
          <w:color w:val="231F20"/>
          <w:sz w:val="10"/>
        </w:rPr>
        <w:t>2</w:t>
      </w:r>
      <w:r>
        <w:rPr>
          <w:spacing w:val="-10"/>
          <w:rFonts w:ascii="GillSansMTPro" w:hAnsi="GillSansMTPro" w:eastAsia="GillSansMTPro"/>
          <w:color w:val="231F20"/>
          <w:sz w:val="16"/>
        </w:rPr>
        <w:t>Department of Chemistry, Muslim University of Morogoro, United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30" w:after="24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introduction of electron-donating or electron-withdrawing 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16"/>
        </w:rPr>
        <w:t>Republic of Tanzania</w:t>
      </w:r>
    </w:p>
    <w:p>
      <w:pPr>
        <w:sectPr>
          <w:type w:val="continuous"/>
          <w:pgSz w:w="11906" w:h="16838"/>
          <w:pgMar w:top="44" w:right="240" w:bottom="50" w:left="240" w:header="720" w:footer="720" w:gutter="0"/>
          <w:cols/>
          <w:docGrid w:linePitch="360"/>
        </w:sectPr>
      </w:pPr>
    </w:p>
    <w:p>
      <w:pPr>
        <w:autoSpaceDN w:val="0"/>
        <w:tabs>
          <w:tab w:pos="5960" w:val="left"/>
        </w:tabs>
        <w:autoSpaceDE w:val="0"/>
        <w:widowControl/>
        <w:spacing w:line="182" w:lineRule="exact" w:before="0" w:after="0"/>
        <w:ind w:left="1008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substituents, can significantly influence charge delocaliza-</w:t>
      </w:r>
      <w:r>
        <w:tab/>
      </w:r>
      <w:r>
        <w:rPr>
          <w:spacing w:val="-10"/>
          <w:w w:val="103.99999618530273"/>
          <w:rFonts w:ascii="GillSansMTPro" w:hAnsi="GillSansMTPro" w:eastAsia="GillSansMTPro"/>
          <w:color w:val="231F20"/>
          <w:sz w:val="10"/>
        </w:rPr>
        <w:t>3</w:t>
      </w:r>
      <w:r>
        <w:rPr>
          <w:spacing w:val="-10"/>
          <w:rFonts w:ascii="GillSansMTPro" w:hAnsi="GillSansMTPro" w:eastAsia="GillSansMTPro"/>
          <w:color w:val="231F20"/>
          <w:sz w:val="16"/>
        </w:rPr>
        <w:t xml:space="preserve">Department of Natural Sciences, College of Science and Technical </w:t>
      </w:r>
      <w:r>
        <w:br/>
      </w:r>
      <w:r>
        <w:tab/>
      </w:r>
      <w:r>
        <w:rPr>
          <w:spacing w:val="-10"/>
          <w:rFonts w:ascii="GillSansMTPro" w:hAnsi="GillSansMTPro" w:eastAsia="GillSansMTPro"/>
          <w:color w:val="231F20"/>
          <w:sz w:val="16"/>
        </w:rPr>
        <w:t>Education, Mbeya University of Science and Technology, United</w:t>
      </w:r>
    </w:p>
    <w:p>
      <w:pPr>
        <w:autoSpaceDN w:val="0"/>
        <w:autoSpaceDE w:val="0"/>
        <w:widowControl/>
        <w:spacing w:line="182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tion, reorganization energies, molecular orbital distribu-</w:t>
      </w:r>
    </w:p>
    <w:p>
      <w:pPr>
        <w:autoSpaceDN w:val="0"/>
        <w:autoSpaceDE w:val="0"/>
        <w:widowControl/>
        <w:spacing w:line="146" w:lineRule="exact" w:before="0" w:after="0"/>
        <w:ind w:left="0" w:right="4130" w:firstLine="0"/>
        <w:jc w:val="right"/>
      </w:pPr>
      <w:r>
        <w:rPr>
          <w:spacing w:val="-10"/>
          <w:rFonts w:ascii="GillSansMTPro" w:hAnsi="GillSansMTPro" w:eastAsia="GillSansMTPro"/>
          <w:color w:val="231F20"/>
          <w:sz w:val="16"/>
        </w:rPr>
        <w:t>Republic of Tanzania</w:t>
      </w:r>
    </w:p>
    <w:p>
      <w:pPr>
        <w:autoSpaceDN w:val="0"/>
        <w:tabs>
          <w:tab w:pos="1248" w:val="left"/>
          <w:tab w:pos="5960" w:val="left"/>
        </w:tabs>
        <w:autoSpaceDE w:val="0"/>
        <w:widowControl/>
        <w:spacing w:line="194" w:lineRule="exact" w:before="8" w:after="0"/>
        <w:ind w:left="1008" w:right="1152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tions, and chemical reactivity descriptors.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8–10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Natural bond orbital (NBO) analysis provides an effec-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16"/>
        </w:rPr>
        <w:t xml:space="preserve">Current affiliation: Michael Kennedy Sanama is also affiliated with </w:t>
      </w:r>
      <w:r>
        <w:br/>
      </w:r>
      <w:r>
        <w:tab/>
      </w:r>
      <w:r>
        <w:tab/>
      </w:r>
      <w:r>
        <w:rPr>
          <w:spacing w:val="-10"/>
          <w:rFonts w:ascii="GillSansMTPro" w:hAnsi="GillSansMTPro" w:eastAsia="GillSansMTPro"/>
          <w:color w:val="231F20"/>
          <w:sz w:val="16"/>
        </w:rPr>
        <w:t>Department of Chemistry, College of Education, Dar es Salaam</w:t>
      </w:r>
    </w:p>
    <w:p>
      <w:pPr>
        <w:autoSpaceDN w:val="0"/>
        <w:autoSpaceDE w:val="0"/>
        <w:widowControl/>
        <w:spacing w:line="182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tive method for examining charge distribution, donor-accep-</w:t>
      </w:r>
    </w:p>
    <w:p>
      <w:pPr>
        <w:autoSpaceDN w:val="0"/>
        <w:autoSpaceDE w:val="0"/>
        <w:widowControl/>
        <w:spacing w:line="146" w:lineRule="exact" w:before="0" w:after="0"/>
        <w:ind w:left="0" w:right="2906" w:firstLine="0"/>
        <w:jc w:val="right"/>
      </w:pPr>
      <w:r>
        <w:rPr>
          <w:spacing w:val="-10"/>
          <w:rFonts w:ascii="GillSansMTPro" w:hAnsi="GillSansMTPro" w:eastAsia="GillSansMTPro"/>
          <w:color w:val="231F20"/>
          <w:sz w:val="16"/>
        </w:rPr>
        <w:t>University, United Republic of Tanzania</w:t>
      </w:r>
    </w:p>
    <w:p>
      <w:pPr>
        <w:autoSpaceDN w:val="0"/>
        <w:tabs>
          <w:tab w:pos="5960" w:val="left"/>
        </w:tabs>
        <w:autoSpaceDE w:val="0"/>
        <w:widowControl/>
        <w:spacing w:line="210" w:lineRule="exact" w:before="0" w:after="2"/>
        <w:ind w:left="1008" w:right="3744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tor interactions (via second-order perturbation theory), and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electronic delocalization pathways.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11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Through evaluation of </w:t>
      </w:r>
      <w:r>
        <w:tab/>
      </w:r>
      <w:r>
        <w:rPr>
          <w:spacing w:val="-10"/>
          <w:rFonts w:ascii="GillSansMTPro" w:hAnsi="GillSansMTPro" w:eastAsia="GillSansMTPro"/>
          <w:b/>
          <w:color w:val="231F20"/>
          <w:sz w:val="16"/>
        </w:rPr>
        <w:t>Corresponding author:</w:t>
      </w:r>
    </w:p>
    <w:p>
      <w:pPr>
        <w:sectPr>
          <w:type w:val="continuous"/>
          <w:pgSz w:w="11906" w:h="16838"/>
          <w:pgMar w:top="44" w:right="240" w:bottom="50" w:left="240" w:header="720" w:footer="720" w:gutter="0"/>
          <w:cols/>
          <w:docGrid w:linePitch="360"/>
        </w:sectPr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1560" w:type="dxa"/>
        <w:gridCol w:w="540" w:type="dxa"/>
        <w:gridCol w:w="920" w:type="dxa"/>
        <w:gridCol w:w="1340" w:type="dxa"/>
        <w:gridCol w:w="980" w:type="dxa"/>
        <w:gridCol w:w="5040" w:type="dxa"/>
      </w:tblGrid>
      <w:tr>
        <w:trPr>
          <w:trHeight w:hRule="exact" w:val="492"/>
        </w:trPr>
        <w:tc>
          <w:tcPr>
            <w:tcW w:type="dxa" w:w="5340"/>
            <w:gridSpan w:val="5"/>
            <w:tcBorders/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38" w:lineRule="exact" w:before="0" w:after="0"/>
              <w:ind w:left="508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stabilization energies between donor and acceptor orbitals,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NBO analysis enables a quantitative understanding of how</w:t>
            </w:r>
          </w:p>
        </w:tc>
        <w:tc>
          <w:tcPr>
            <w:tcW w:type="dxa" w:w="504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0" w:after="0"/>
              <w:ind w:left="120" w:right="518" w:firstLine="0"/>
              <w:jc w:val="both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6"/>
              </w:rPr>
              <w:t xml:space="preserve">Ismail Abubakari, Department of Chemistry, College of Natural and </w:t>
            </w:r>
            <w:r>
              <w:br/>
            </w:r>
            <w:r>
              <w:rPr>
                <w:spacing w:val="-10"/>
                <w:rFonts w:ascii="GillSansMTPro" w:hAnsi="GillSansMTPro" w:eastAsia="GillSansMTPro"/>
                <w:color w:val="231F20"/>
                <w:sz w:val="16"/>
              </w:rPr>
              <w:t xml:space="preserve">Mathematical Sciences, The University of Dodoma, Dodoma 41218, </w:t>
            </w:r>
            <w:r>
              <w:br/>
            </w:r>
            <w:r>
              <w:rPr>
                <w:spacing w:val="-10"/>
                <w:rFonts w:ascii="GillSansMTPro" w:hAnsi="GillSansMTPro" w:eastAsia="GillSansMTPro"/>
                <w:color w:val="231F20"/>
                <w:sz w:val="16"/>
              </w:rPr>
              <w:t>United</w:t>
            </w:r>
            <w:hyperlink r:id="rId12" w:history="1">
              <w:r>
                <w:rPr>
                  <w:rStyle w:val="Hyperlink"/>
                  <w:rFonts w:ascii="GillSansMTPro" w:hAnsi="GillSansMTPro" w:eastAsia="GillSansMTPro" w:cs="GillSansMTPro"/>
                  <w:sz w:val="16.0"/>
                  <w:color w:val="231F20"/>
                  <w:spacing w:val="-10"/>
                </w:rPr>
                <w:t xml:space="preserve"> Republic of Tanzania.</w:t>
              </w:r>
            </w:hyperlink>
          </w:p>
          <w:p>
            <w:pPr>
              <w:autoSpaceDN w:val="0"/>
              <w:autoSpaceDE w:val="0"/>
              <w:widowControl/>
              <w:spacing w:line="150" w:lineRule="exact" w:before="50" w:after="0"/>
              <w:ind w:left="12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6"/>
              </w:rPr>
              <w:t xml:space="preserve">Email: </w:t>
            </w:r>
            <w:hyperlink r:id="rId12" w:history="1">
              <w:r>
                <w:rPr>
                  <w:rStyle w:val="Hyperlink"/>
                  <w:rFonts w:ascii="GillSansMTPro" w:hAnsi="GillSansMTPro" w:eastAsia="GillSansMTPro" w:cs="GillSansMTPro"/>
                  <w:sz w:val="16.0"/>
                  <w:color w:val="231F20"/>
                  <w:spacing w:val="-10"/>
                </w:rPr>
                <w:t>ismail.msangi2@udom.ac.tz</w:t>
              </w:r>
            </w:hyperlink>
          </w:p>
        </w:tc>
      </w:tr>
      <w:tr>
        <w:trPr>
          <w:trHeight w:hRule="exact" w:val="314"/>
        </w:trPr>
        <w:tc>
          <w:tcPr>
            <w:tcW w:type="dxa" w:w="15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4" w:after="0"/>
              <w:ind w:left="0" w:right="12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substituents</w:t>
            </w:r>
          </w:p>
        </w:tc>
        <w:tc>
          <w:tcPr>
            <w:tcW w:type="dxa" w:w="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and</w:t>
            </w:r>
          </w:p>
        </w:tc>
        <w:tc>
          <w:tcPr>
            <w:tcW w:type="dxa" w:w="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44" w:after="0"/>
              <w:ind w:left="0" w:right="0" w:firstLine="0"/>
              <w:jc w:val="center"/>
            </w:pP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-bridge</w:t>
            </w:r>
          </w:p>
        </w:tc>
        <w:tc>
          <w:tcPr>
            <w:tcW w:type="dxa" w:w="1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modifications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influence</w:t>
            </w:r>
          </w:p>
        </w:tc>
        <w:tc>
          <w:tcPr>
            <w:tcW w:type="dxa" w:w="1904"/>
            <w:vMerge/>
            <w:tcBorders/>
            <w:tcMar>
              <w:left w:w="0" w:type="dxa"/>
              <w:right w:w="0" w:type="dxa"/>
            </w:tcMar>
          </w:tcPr>
          <w:p/>
        </w:tc>
      </w:tr>
    </w:tbl>
    <w:p>
      <w:pPr>
        <w:autoSpaceDN w:val="0"/>
        <w:autoSpaceDE w:val="0"/>
        <w:widowControl/>
        <w:spacing w:line="112" w:lineRule="exact" w:before="328" w:after="0"/>
        <w:ind w:left="2096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16"/>
        </w:rPr>
        <w:t>Creative Commons Non Commercial CC BY-NC: This article is distributed under the terms of the Creative Commons</w:t>
      </w:r>
    </w:p>
    <w:p>
      <w:pPr>
        <w:autoSpaceDN w:val="0"/>
        <w:autoSpaceDE w:val="0"/>
        <w:widowControl/>
        <w:spacing w:line="200" w:lineRule="exact" w:before="36" w:after="0"/>
        <w:ind w:left="1008" w:right="1008" w:firstLine="1088"/>
        <w:jc w:val="left"/>
      </w:pPr>
      <w:r>
        <w:rPr>
          <w:spacing w:val="-10"/>
          <w:rFonts w:ascii="GillSansMTPro" w:hAnsi="GillSansMTPro" w:eastAsia="GillSansMTPro"/>
          <w:color w:val="231F20"/>
          <w:sz w:val="16"/>
        </w:rPr>
        <w:t xml:space="preserve">Attribution-NonCommercial 4.0 License (https://creativecommons.org/licenses/by-nc/4.0/) which permits non-commercial use,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16"/>
        </w:rPr>
        <w:t xml:space="preserve">reproduction and distribution of the work without further permission provided the original work is attributed as specified on the SAGE and </w:t>
      </w:r>
      <w:r>
        <w:br/>
      </w:r>
      <w:r>
        <w:rPr>
          <w:spacing w:val="-10"/>
          <w:rFonts w:ascii="GillSansMTPro" w:hAnsi="GillSansMTPro" w:eastAsia="GillSansMTPro"/>
          <w:color w:val="231F20"/>
          <w:sz w:val="16"/>
        </w:rPr>
        <w:t>Open Access pages (https://us.sagepub.com/en-us/nam/open-access-at-sage).</w:t>
      </w:r>
    </w:p>
    <w:p>
      <w:pPr>
        <w:sectPr>
          <w:type w:val="continuous"/>
          <w:pgSz w:w="11906" w:h="16838"/>
          <w:pgMar w:top="44" w:right="240" w:bottom="50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679450</wp:posOffset>
            </wp:positionV>
            <wp:extent cx="6137909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63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68" w:after="0"/>
        <w:ind w:left="0" w:right="0"/>
      </w:pPr>
    </w:p>
    <w:p>
      <w:pPr>
        <w:autoSpaceDN w:val="0"/>
        <w:tabs>
          <w:tab w:pos="8224" w:val="left"/>
        </w:tabs>
        <w:autoSpaceDE w:val="0"/>
        <w:widowControl/>
        <w:spacing w:line="138" w:lineRule="exact" w:before="0" w:after="338"/>
        <w:ind w:left="752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20"/>
        </w:rPr>
        <w:t xml:space="preserve">2 </w:t>
      </w:r>
      <w:r>
        <w:tab/>
      </w:r>
      <w:r>
        <w:rPr>
          <w:spacing w:val="-10"/>
          <w:rFonts w:ascii="GillSansMTPro" w:hAnsi="GillSansMTPro" w:eastAsia="GillSansMTPro"/>
          <w:i/>
          <w:color w:val="231F20"/>
          <w:sz w:val="20"/>
        </w:rPr>
        <w:t>Journal of Chemical Research</w:t>
      </w:r>
    </w:p>
    <w:p>
      <w:pPr>
        <w:sectPr>
          <w:pgSz w:w="11906" w:h="16838"/>
          <w:pgMar w:top="240" w:right="240" w:bottom="156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energies generally correspond to higher charge mobility and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cyclopenta[b]thiophene. Any observed variations in elec-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36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improved electronic performance.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8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tronic or structural properties can be directly attributed to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 addition, global chemical reactivity descriptors,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influence of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-spacer, allowing a clear evaluation of its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including ionization potential, electron affinity, chemical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effect on the D-A′-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-A molecular framework.</w:t>
      </w:r>
    </w:p>
    <w:p>
      <w:pPr>
        <w:autoSpaceDN w:val="0"/>
        <w:autoSpaceDE w:val="0"/>
        <w:widowControl/>
        <w:spacing w:line="182" w:lineRule="exact" w:before="58" w:after="28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hardness, chemical potential, electronegativity, and electro-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5220" w:type="dxa"/>
        <w:gridCol w:w="3960" w:type="dxa"/>
      </w:tblGrid>
      <w:tr>
        <w:trPr>
          <w:trHeight w:hRule="exact" w:val="470"/>
        </w:trPr>
        <w:tc>
          <w:tcPr>
            <w:tcW w:type="dxa" w:w="5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6" w:lineRule="exact" w:before="0" w:after="0"/>
              <w:ind w:left="39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philicity, provide valuable insight into molecular stability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and reactivity patterns. These descriptors, derived from</w:t>
            </w:r>
          </w:p>
        </w:tc>
        <w:tc>
          <w:tcPr>
            <w:tcW w:type="dxa" w:w="3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18" w:lineRule="exact" w:before="102" w:after="0"/>
              <w:ind w:left="126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24"/>
              </w:rPr>
              <w:t>Computational details</w:t>
            </w:r>
          </w:p>
        </w:tc>
      </w:tr>
    </w:tbl>
    <w:p>
      <w:pPr>
        <w:autoSpaceDN w:val="0"/>
        <w:tabs>
          <w:tab w:pos="5706" w:val="left"/>
        </w:tabs>
        <w:autoSpaceDE w:val="0"/>
        <w:widowControl/>
        <w:spacing w:line="202" w:lineRule="exact" w:before="0" w:after="8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frontier molecular orbital (FMO) energies, help in estab-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ground-state geometries of the molecules under investi-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020" w:type="dxa"/>
        <w:gridCol w:w="1640" w:type="dxa"/>
        <w:gridCol w:w="1220" w:type="dxa"/>
        <w:gridCol w:w="340" w:type="dxa"/>
        <w:gridCol w:w="1000" w:type="dxa"/>
        <w:gridCol w:w="5340" w:type="dxa"/>
      </w:tblGrid>
      <w:tr>
        <w:trPr>
          <w:trHeight w:hRule="exact" w:val="212"/>
        </w:trPr>
        <w:tc>
          <w:tcPr>
            <w:tcW w:type="dxa" w:w="1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50" w:after="0"/>
              <w:ind w:left="0" w:right="8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lishing</w:t>
            </w:r>
          </w:p>
        </w:tc>
        <w:tc>
          <w:tcPr>
            <w:tcW w:type="dxa" w:w="1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2" w:lineRule="exact" w:before="70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structure-property</w:t>
            </w:r>
          </w:p>
        </w:tc>
        <w:tc>
          <w:tcPr>
            <w:tcW w:type="dxa" w:w="1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50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relationships</w:t>
            </w:r>
          </w:p>
        </w:tc>
        <w:tc>
          <w:tcPr>
            <w:tcW w:type="dxa" w:w="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8" w:lineRule="exact" w:before="50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in</w:t>
            </w:r>
          </w:p>
        </w:tc>
        <w:tc>
          <w:tcPr>
            <w:tcW w:type="dxa" w:w="1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8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D-A′-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-A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2" w:lineRule="exact" w:before="10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gation were taken from our earlier study,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15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where the</w:t>
            </w:r>
          </w:p>
        </w:tc>
      </w:tr>
    </w:tbl>
    <w:p>
      <w:pPr>
        <w:autoSpaceDN w:val="0"/>
        <w:autoSpaceDE w:val="0"/>
        <w:widowControl/>
        <w:spacing w:line="14" w:lineRule="exact" w:before="0" w:after="18"/>
        <w:ind w:left="0" w:right="0"/>
      </w:pPr>
    </w:p>
    <w:p>
      <w:pPr>
        <w:sectPr>
          <w:type w:val="continuous"/>
          <w:pgSz w:w="11906" w:h="16838"/>
          <w:pgMar w:top="240" w:right="240" w:bottom="156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20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chromophores and guide rational molecular design.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11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B3LYP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16,17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functional was used to fully optimize the molec-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Although several studies have used density functional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ular structures using the Gaussian 09 Rev, D.01 program</w:t>
      </w:r>
    </w:p>
    <w:p>
      <w:pPr>
        <w:autoSpaceDN w:val="0"/>
        <w:tabs>
          <w:tab w:pos="5706" w:val="left"/>
        </w:tabs>
        <w:autoSpaceDE w:val="0"/>
        <w:widowControl/>
        <w:spacing w:line="200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theory (DFT) and time-dependent DFT (TD-DFT) to inves-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suite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18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within DFT. To guarantee structural stability, the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tigate the impact of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-bridges on D-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-A dyes (e.g. in dye-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M1–M4 structures were optimized using strict self-consist-</w:t>
      </w:r>
    </w:p>
    <w:p>
      <w:pPr>
        <w:autoSpaceDN w:val="0"/>
        <w:tabs>
          <w:tab w:pos="5706" w:val="left"/>
        </w:tabs>
        <w:autoSpaceDE w:val="0"/>
        <w:widowControl/>
        <w:spacing w:line="200" w:lineRule="exact" w:before="3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sensitized solar cells (DSSCs)),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12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fewer studies have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ency field (SCF) convergence criteria. The geometries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comprehensively examined the combined effects of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match the verified minima discovered in our earlier study,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15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spacer substitution on global descriptors, reorganization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offering a consistent basis for the electronic analysis even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energies, and NBO interactions in D-A′-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-A molecular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though formal frequency analyses were not carried out for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structures. Recent work has shown that incorporating vari-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this investigation. The optimized geometries described in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ous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-spacers into symmetrical non-fullerene acceptor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that work form the structural basis of this study.</w:t>
      </w:r>
    </w:p>
    <w:p>
      <w:pPr>
        <w:autoSpaceDN w:val="0"/>
        <w:tabs>
          <w:tab w:pos="594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(A-D-A) systems can widen absorption ranges, lower reor-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This study focuses on a more thorough electronic inves-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ganization energies, and enhance photovoltaic perfor-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tigation of the developed sensitizers, building on this estab-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3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mance.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13,14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Similarly, benzothiadiazole-based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lished foundation. The Gaussian 09 Rev, D.01 program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have been reported to markedly influence band gaps,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suite at the B3LYP/6-311G level of theory was employed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3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absorption strength, and charge-transport properties.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8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for all further computations. The B3LYP/6-311G level of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In this study, a series of D-A′-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-A molecules that differ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theory was chosen in order to reconcile the systematic eval-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only in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-spacer, with the donor, internal acceptor, and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uation of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-spacers with computing cost. Although it is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external acceptor held constant are developed. Using DFT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accepted that the 6-311G basis set lacks polarization func-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at the B3LYP/6-311G level, the reorganization energies,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tions, which are important for atoms like sulfur, and that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global chemical reactivity descriptors, and NBO character-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B3LYP may underrepresent long-range interactions, this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istics were evaluated. The analysis of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 variations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level of theory is suitable for capturing the qualitative-rela-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on charge delocalization, charge mobility, and molecular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tive trends across the M1–M4 series. Therefore, rather than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reactivity offers insights to inform the development of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being predictive-absolute numbers, the data reported here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advanced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-bridge-modified chromophores for optoelec-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are meant to offer a comparative understanding of the struc-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tronic applications. In addition, the photophysical proper-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tural influences on electronic properties.</w:t>
      </w:r>
    </w:p>
    <w:p>
      <w:pPr>
        <w:autoSpaceDN w:val="0"/>
        <w:tabs>
          <w:tab w:pos="594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ties and excited state arrangement of these developed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ionization potential (IP), the electron affinity (EA),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molecules, together with TD-DFT calculated absorption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energy of the highest occupied molecular orbital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maxima and oscillator strength, were established in our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(HOMO) and the lowest unoccupied molecular orbital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3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previous work.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15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Building on those foundations, the current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(LUMO), and the HOMO-LUMO energy gap are some of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work focuses on screening-level electronic and transport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important electronic parameters related to photovoltaic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descriptors to assess their feasibility for DSSC/organic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performance that were computed based on the optimized</w:t>
      </w:r>
    </w:p>
    <w:p>
      <w:pPr>
        <w:autoSpaceDN w:val="0"/>
        <w:tabs>
          <w:tab w:pos="5706" w:val="left"/>
        </w:tabs>
        <w:autoSpaceDE w:val="0"/>
        <w:widowControl/>
        <w:spacing w:line="200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photovoltaic (OPV) uses.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geometries. In addition, the reorganization energies for</w:t>
      </w:r>
    </w:p>
    <w:p>
      <w:pPr>
        <w:autoSpaceDN w:val="0"/>
        <w:autoSpaceDE w:val="0"/>
        <w:widowControl/>
        <w:spacing w:line="200" w:lineRule="exact" w:before="40" w:after="2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hole and electron transfer (</w:t>
      </w:r>
      <w:r>
        <w:rPr>
          <w:spacing w:val="-10"/>
          <w:rFonts w:ascii="SymbolMT" w:hAnsi="SymbolMT" w:eastAsia="SymbolMT"/>
          <w:color w:val="231F20"/>
          <w:sz w:val="20"/>
        </w:rPr>
        <w:t>λ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hole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and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λ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electron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, respectively)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4480" w:type="dxa"/>
        <w:gridCol w:w="6080" w:type="dxa"/>
      </w:tblGrid>
      <w:tr>
        <w:trPr>
          <w:trHeight w:hRule="exact" w:val="472"/>
        </w:trPr>
        <w:tc>
          <w:tcPr>
            <w:tcW w:type="dxa" w:w="44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2" w:lineRule="exact" w:before="172" w:after="0"/>
              <w:ind w:left="39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24"/>
              </w:rPr>
              <w:t>Computational methodology</w:t>
            </w:r>
          </w:p>
        </w:tc>
        <w:tc>
          <w:tcPr>
            <w:tcW w:type="dxa" w:w="6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2" w:lineRule="exact" w:before="0" w:after="0"/>
              <w:ind w:left="866" w:right="432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were determined, which reveals information about the mol-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ecules’ charge-transport properties.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5220" w:type="dxa"/>
        <w:gridCol w:w="5340" w:type="dxa"/>
      </w:tblGrid>
      <w:tr>
        <w:trPr>
          <w:trHeight w:hRule="exact" w:val="3328"/>
        </w:trPr>
        <w:tc>
          <w:tcPr>
            <w:tcW w:type="dxa" w:w="5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16" w:lineRule="exact" w:before="62" w:after="0"/>
              <w:ind w:left="39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24"/>
              </w:rPr>
              <w:t>Molecular develop</w:t>
            </w:r>
          </w:p>
          <w:p>
            <w:pPr>
              <w:autoSpaceDN w:val="0"/>
              <w:autoSpaceDE w:val="0"/>
              <w:widowControl/>
              <w:spacing w:line="240" w:lineRule="exact" w:before="112" w:after="0"/>
              <w:ind w:left="392" w:right="114" w:firstLine="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-spacer was selectively changed, maintaining the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donor (D) unit, internal acceptor (A′), and external acceptor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(A) constant across all molecular structures. The donor unit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was chosen for its potent donating capacity, whereas benzo-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thiadiazole (BTD) and cyanoacrylic acid were employed as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 internal and external acceptors, respectively, to ensure</w:t>
            </w:r>
          </w:p>
          <w:p>
            <w:pPr>
              <w:autoSpaceDN w:val="0"/>
              <w:autoSpaceDE w:val="0"/>
              <w:widowControl/>
              <w:spacing w:line="140" w:lineRule="exact" w:before="58" w:after="0"/>
              <w:ind w:left="39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efficient electron withdrawal. A series of four D-A′-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-A</w:t>
            </w:r>
          </w:p>
          <w:p>
            <w:pPr>
              <w:autoSpaceDN w:val="0"/>
              <w:autoSpaceDE w:val="0"/>
              <w:widowControl/>
              <w:spacing w:line="240" w:lineRule="exact" w:before="42" w:after="0"/>
              <w:ind w:left="392" w:right="114" w:firstLine="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molecules (M1–M4), shown in Figure 1, was constructed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by systematically varying the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-spacer. The selected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spacers included thiophene, 4-(thiophene-3-yl)pyridine,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2-(4-(thiophene-2-yl)thiophene, and (E)-5,6-dihydro-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6-(4,5-dihydrocyclopenta[b]thiophene-6-ylidene)-4H-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36" w:lineRule="exact" w:before="0" w:after="0"/>
              <w:ind w:left="126" w:right="498" w:firstLine="24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At the same theoretical level, NBO analysis was used to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further clarify the ICT behavior inside the developed sensi-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tizers. The FMO distributions were previously reported in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our previous work,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15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but in order to provide the electronic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context required for interpreting the newly evaluated ICT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characteristics as well as charge-transport parameters of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those developed molecules.</w:t>
            </w:r>
          </w:p>
          <w:p>
            <w:pPr>
              <w:autoSpaceDN w:val="0"/>
              <w:autoSpaceDE w:val="0"/>
              <w:widowControl/>
              <w:spacing w:line="242" w:lineRule="exact" w:before="0" w:after="0"/>
              <w:ind w:left="126" w:right="502" w:firstLine="24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Ground-state optimization was achieved using DFT/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6-311G reliable with the methodology employed for the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TD-DFT absorption analysis reported in our previous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work.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15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Equations (1)–(4) were employed to determine the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energy gap, reorganization energies for the electron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λ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electron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), reorganization energies for the hole (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λ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hole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), as well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as total reorganization energy (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λ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total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)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17,19,20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type w:val="continuous"/>
          <w:pgSz w:w="11906" w:h="16838"/>
          <w:pgMar w:top="240" w:right="240" w:bottom="156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679450</wp:posOffset>
            </wp:positionV>
            <wp:extent cx="6137910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10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1250950</wp:posOffset>
            </wp:positionH>
            <wp:positionV relativeFrom="page">
              <wp:posOffset>1009650</wp:posOffset>
            </wp:positionV>
            <wp:extent cx="5219700" cy="7283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72834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68" w:after="0"/>
        <w:ind w:left="0" w:right="0"/>
      </w:pPr>
    </w:p>
    <w:p>
      <w:pPr>
        <w:autoSpaceDN w:val="0"/>
        <w:tabs>
          <w:tab w:pos="10574" w:val="left"/>
        </w:tabs>
        <w:autoSpaceDE w:val="0"/>
        <w:widowControl/>
        <w:spacing w:line="140" w:lineRule="exact" w:before="0" w:after="426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i/>
          <w:color w:val="231F20"/>
          <w:sz w:val="20"/>
        </w:rPr>
        <w:t xml:space="preserve">Abubakari et al. 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20"/>
        </w:rPr>
        <w:t>3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610" w:type="dxa"/>
      </w:tblPr>
      <w:tblGrid>
        <w:gridCol w:w="8462" w:type="dxa"/>
      </w:tblGrid>
      <w:tr>
        <w:trPr>
          <w:trHeight w:hRule="exact" w:val="11808"/>
        </w:trPr>
        <w:tc>
          <w:tcPr>
            <w:tcW w:type="dxa" w:w="8462"/>
            <w:tcBorders>
              <w:left w:sz="4.0" w:val="single" w:color="221F1F"/>
              <w:top w:sz="4.0" w:val="single" w:color="221F1F"/>
              <w:right w:sz="4.0" w:val="single" w:color="221F1F"/>
              <w:bottom w:sz="4.0" w:val="single" w:color="221F1F"/>
            </w:tcBorders>
            <w:tcMar>
              <w:left w:w="0" w:type="dxa"/>
              <w:right w:w="0" w:type="dxa"/>
            </w:tcMar>
          </w:tcPr>
          <w:p/>
        </w:tc>
      </w:tr>
    </w:tbl>
    <w:p>
      <w:pPr>
        <w:autoSpaceDN w:val="0"/>
        <w:autoSpaceDE w:val="0"/>
        <w:widowControl/>
        <w:spacing w:line="166" w:lineRule="exact" w:before="244" w:after="416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18"/>
        </w:rPr>
        <w:t>Figure 1.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D-A</w:t>
      </w:r>
      <w:r>
        <w:rPr>
          <w:spacing w:val="-10"/>
          <w:rFonts w:ascii="Calibri" w:hAnsi="Calibri" w:eastAsia="Calibri"/>
          <w:color w:val="231F20"/>
          <w:sz w:val="18"/>
        </w:rPr>
        <w:t>′</w:t>
      </w:r>
      <w:r>
        <w:rPr>
          <w:spacing w:val="-10"/>
          <w:rFonts w:ascii="GillSansMTPro" w:hAnsi="GillSansMTPro" w:eastAsia="GillSansMTPro"/>
          <w:color w:val="231F20"/>
          <w:sz w:val="18"/>
        </w:rPr>
        <w:t>-</w:t>
      </w:r>
      <w:r>
        <w:rPr>
          <w:spacing w:val="-10"/>
          <w:rFonts w:ascii="Calibri" w:hAnsi="Calibri" w:eastAsia="Calibri"/>
          <w:color w:val="231F20"/>
          <w:sz w:val="18"/>
        </w:rPr>
        <w:t>π</w:t>
      </w:r>
      <w:r>
        <w:rPr>
          <w:spacing w:val="-10"/>
          <w:rFonts w:ascii="GillSansMTPro" w:hAnsi="GillSansMTPro" w:eastAsia="GillSansMTPro"/>
          <w:color w:val="231F20"/>
          <w:sz w:val="18"/>
        </w:rPr>
        <w:t>-A molecules designed using donor, internal acceptor,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GillSansMTPro" w:hAnsi="GillSansMTPro" w:eastAsia="GillSansMTPro"/>
          <w:color w:val="231F20"/>
          <w:sz w:val="18"/>
        </w:rPr>
        <w:t>-spacer, and external acceptor.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220" w:type="dxa"/>
      </w:tblPr>
      <w:tblGrid>
        <w:gridCol w:w="1340" w:type="dxa"/>
        <w:gridCol w:w="200" w:type="dxa"/>
        <w:gridCol w:w="720" w:type="dxa"/>
        <w:gridCol w:w="1320" w:type="dxa"/>
        <w:gridCol w:w="1840" w:type="dxa"/>
        <w:gridCol w:w="1340" w:type="dxa"/>
        <w:gridCol w:w="540" w:type="dxa"/>
        <w:gridCol w:w="1240" w:type="dxa"/>
        <w:gridCol w:w="1280" w:type="dxa"/>
      </w:tblGrid>
      <w:tr>
        <w:trPr>
          <w:trHeight w:hRule="exact" w:val="338"/>
        </w:trPr>
        <w:tc>
          <w:tcPr>
            <w:tcW w:type="dxa" w:w="1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64" w:after="0"/>
              <w:ind w:left="0" w:right="0" w:firstLine="0"/>
              <w:jc w:val="righ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</w:p>
        </w:tc>
        <w:tc>
          <w:tcPr>
            <w:tcW w:type="dxa" w:w="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86" w:lineRule="exact" w:before="192" w:after="0"/>
              <w:ind w:left="18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13"/>
              </w:rPr>
              <w:t>g</w:t>
            </w:r>
          </w:p>
        </w:tc>
        <w:tc>
          <w:tcPr>
            <w:tcW w:type="dxa" w:w="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64" w:after="0"/>
              <w:ind w:left="132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</w:p>
          <w:p>
            <w:pPr>
              <w:autoSpaceDN w:val="0"/>
              <w:autoSpaceDE w:val="0"/>
              <w:widowControl/>
              <w:spacing w:line="90" w:lineRule="exact" w:before="0" w:after="0"/>
              <w:ind w:left="0" w:right="86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LUMO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64" w:after="0"/>
              <w:ind w:left="124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</w:p>
          <w:p>
            <w:pPr>
              <w:autoSpaceDN w:val="0"/>
              <w:autoSpaceDE w:val="0"/>
              <w:widowControl/>
              <w:spacing w:line="90" w:lineRule="exact" w:before="0" w:after="0"/>
              <w:ind w:left="24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HOMO</w:t>
            </w:r>
          </w:p>
        </w:tc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60" w:after="0"/>
              <w:ind w:left="0" w:right="92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(1)</w:t>
            </w:r>
          </w:p>
        </w:tc>
        <w:tc>
          <w:tcPr>
            <w:tcW w:type="dxa" w:w="1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2" w:lineRule="exact" w:before="158" w:after="0"/>
              <w:ind w:left="0" w:right="164" w:firstLine="0"/>
              <w:jc w:val="righ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13"/>
              </w:rPr>
              <w:t>total</w:t>
            </w:r>
          </w:p>
        </w:tc>
        <w:tc>
          <w:tcPr>
            <w:tcW w:type="dxa" w:w="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2" w:lineRule="exact" w:before="158" w:after="0"/>
              <w:ind w:left="0" w:right="0" w:firstLine="0"/>
              <w:jc w:val="center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13"/>
              </w:rPr>
              <w:t>hole</w:t>
            </w:r>
          </w:p>
        </w:tc>
        <w:tc>
          <w:tcPr>
            <w:tcW w:type="dxa" w:w="1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2" w:lineRule="exact" w:before="158" w:after="0"/>
              <w:ind w:left="174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13"/>
              </w:rPr>
              <w:t>electron</w:t>
            </w:r>
          </w:p>
        </w:tc>
        <w:tc>
          <w:tcPr>
            <w:tcW w:type="dxa" w:w="1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62" w:after="0"/>
              <w:ind w:left="0" w:right="366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(4)</w:t>
            </w:r>
          </w:p>
        </w:tc>
      </w:tr>
    </w:tbl>
    <w:p>
      <w:pPr>
        <w:autoSpaceDN w:val="0"/>
        <w:autoSpaceDE w:val="0"/>
        <w:widowControl/>
        <w:spacing w:line="26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120" w:type="dxa"/>
      </w:tblPr>
      <w:tblGrid>
        <w:gridCol w:w="1480" w:type="dxa"/>
        <w:gridCol w:w="180" w:type="dxa"/>
        <w:gridCol w:w="140" w:type="dxa"/>
        <w:gridCol w:w="160" w:type="dxa"/>
        <w:gridCol w:w="300" w:type="dxa"/>
        <w:gridCol w:w="200" w:type="dxa"/>
        <w:gridCol w:w="160" w:type="dxa"/>
        <w:gridCol w:w="140" w:type="dxa"/>
        <w:gridCol w:w="160" w:type="dxa"/>
        <w:gridCol w:w="280" w:type="dxa"/>
        <w:gridCol w:w="640" w:type="dxa"/>
        <w:gridCol w:w="880" w:type="dxa"/>
        <w:gridCol w:w="5200" w:type="dxa"/>
      </w:tblGrid>
      <w:tr>
        <w:trPr>
          <w:trHeight w:hRule="exact" w:val="276"/>
        </w:trPr>
        <w:tc>
          <w:tcPr>
            <w:tcW w:type="dxa" w:w="14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2" w:lineRule="exact" w:before="276" w:after="0"/>
              <w:ind w:left="0" w:right="11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hole</w:t>
            </w:r>
          </w:p>
        </w:tc>
        <w:tc>
          <w:tcPr>
            <w:tcW w:type="dxa" w:w="1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76" w:after="0"/>
              <w:ind w:left="0" w:right="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(</w:t>
            </w:r>
          </w:p>
        </w:tc>
        <w:tc>
          <w:tcPr>
            <w:tcW w:type="dxa" w:w="14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82" w:after="0"/>
              <w:ind w:left="1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E</w:t>
            </w:r>
          </w:p>
        </w:tc>
        <w:tc>
          <w:tcPr>
            <w:tcW w:type="dxa" w:w="16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0" w:lineRule="exact" w:before="278" w:after="0"/>
              <w:ind w:left="4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</w:p>
        </w:tc>
        <w:tc>
          <w:tcPr>
            <w:tcW w:type="dxa" w:w="30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82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E</w:t>
            </w:r>
          </w:p>
        </w:tc>
        <w:tc>
          <w:tcPr>
            <w:tcW w:type="dxa" w:w="20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76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)</w:t>
            </w:r>
          </w:p>
        </w:tc>
        <w:tc>
          <w:tcPr>
            <w:tcW w:type="dxa" w:w="16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76" w:after="0"/>
              <w:ind w:left="0" w:right="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(</w:t>
            </w:r>
          </w:p>
        </w:tc>
        <w:tc>
          <w:tcPr>
            <w:tcW w:type="dxa" w:w="14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82" w:after="0"/>
              <w:ind w:left="14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E</w:t>
            </w:r>
          </w:p>
        </w:tc>
        <w:tc>
          <w:tcPr>
            <w:tcW w:type="dxa" w:w="16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0" w:lineRule="exact" w:before="136" w:after="0"/>
              <w:ind w:left="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</w:p>
        </w:tc>
        <w:tc>
          <w:tcPr>
            <w:tcW w:type="dxa" w:w="2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82" w:after="0"/>
              <w:ind w:left="0" w:right="32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E</w:t>
            </w:r>
          </w:p>
        </w:tc>
        <w:tc>
          <w:tcPr>
            <w:tcW w:type="dxa" w:w="64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84" w:after="0"/>
              <w:ind w:left="0" w:right="432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 xml:space="preserve">0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 xml:space="preserve">0 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)</w:t>
            </w:r>
          </w:p>
        </w:tc>
        <w:tc>
          <w:tcPr>
            <w:tcW w:type="dxa" w:w="8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78" w:after="0"/>
              <w:ind w:left="0" w:right="12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(2)</w:t>
            </w:r>
          </w:p>
        </w:tc>
        <w:tc>
          <w:tcPr>
            <w:tcW w:type="dxa" w:w="5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8" w:lineRule="exact" w:before="48" w:after="0"/>
              <w:ind w:left="12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where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g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indicates the energy band gap,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HOMO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represents</w:t>
            </w:r>
          </w:p>
        </w:tc>
      </w:tr>
      <w:tr>
        <w:trPr>
          <w:trHeight w:hRule="exact" w:val="244"/>
        </w:trPr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87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2" w:lineRule="exact" w:before="24" w:after="0"/>
              <w:ind w:left="12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 HOMO energy, and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LUMO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indicates the LUMO energy.</w:t>
            </w:r>
          </w:p>
        </w:tc>
      </w:tr>
    </w:tbl>
    <w:p>
      <w:pPr>
        <w:autoSpaceDN w:val="0"/>
        <w:autoSpaceDE w:val="0"/>
        <w:widowControl/>
        <w:spacing w:line="182" w:lineRule="exact" w:before="20" w:after="10"/>
        <w:ind w:left="0" w:right="752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neutral, anion, and cation total energies in their respec-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620" w:type="dxa"/>
        <w:gridCol w:w="460" w:type="dxa"/>
        <w:gridCol w:w="460" w:type="dxa"/>
        <w:gridCol w:w="360" w:type="dxa"/>
        <w:gridCol w:w="180" w:type="dxa"/>
        <w:gridCol w:w="840" w:type="dxa"/>
        <w:gridCol w:w="880" w:type="dxa"/>
        <w:gridCol w:w="5200" w:type="dxa"/>
      </w:tblGrid>
      <w:tr>
        <w:trPr>
          <w:trHeight w:hRule="exact" w:val="264"/>
        </w:trPr>
        <w:tc>
          <w:tcPr>
            <w:tcW w:type="dxa" w:w="162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2" w:lineRule="exact" w:before="266" w:after="0"/>
              <w:ind w:left="0" w:right="150" w:firstLine="0"/>
              <w:jc w:val="righ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13"/>
              </w:rPr>
              <w:t>electron</w:t>
            </w:r>
          </w:p>
        </w:tc>
        <w:tc>
          <w:tcPr>
            <w:tcW w:type="dxa" w:w="46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72" w:after="0"/>
              <w:ind w:left="0" w:right="0" w:firstLine="0"/>
              <w:jc w:val="center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</w:p>
          <w:p>
            <w:pPr>
              <w:autoSpaceDN w:val="0"/>
              <w:autoSpaceDE w:val="0"/>
              <w:widowControl/>
              <w:spacing w:line="90" w:lineRule="exact" w:before="0" w:after="0"/>
              <w:ind w:left="0" w:right="108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</w:p>
        </w:tc>
        <w:tc>
          <w:tcPr>
            <w:tcW w:type="dxa" w:w="46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72" w:after="0"/>
              <w:ind w:left="0" w:right="210" w:firstLine="0"/>
              <w:jc w:val="righ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</w:p>
        </w:tc>
        <w:tc>
          <w:tcPr>
            <w:tcW w:type="dxa" w:w="36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72" w:after="0"/>
              <w:ind w:left="0" w:right="0" w:firstLine="0"/>
              <w:jc w:val="righ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</w:p>
        </w:tc>
        <w:tc>
          <w:tcPr>
            <w:tcW w:type="dxa" w:w="1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0" w:lineRule="exact" w:before="126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</w:p>
        </w:tc>
        <w:tc>
          <w:tcPr>
            <w:tcW w:type="dxa" w:w="84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0" w:lineRule="exact" w:before="126" w:after="0"/>
              <w:ind w:left="0" w:right="522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</w:p>
          <w:p>
            <w:pPr>
              <w:autoSpaceDN w:val="0"/>
              <w:autoSpaceDE w:val="0"/>
              <w:widowControl/>
              <w:spacing w:line="132" w:lineRule="exact" w:before="0" w:after="0"/>
              <w:ind w:left="116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</w:p>
          <w:p>
            <w:pPr>
              <w:autoSpaceDN w:val="0"/>
              <w:autoSpaceDE w:val="0"/>
              <w:widowControl/>
              <w:spacing w:line="90" w:lineRule="exact" w:before="0" w:after="0"/>
              <w:ind w:left="0" w:right="538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</w:p>
        </w:tc>
        <w:tc>
          <w:tcPr>
            <w:tcW w:type="dxa" w:w="8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66" w:after="0"/>
              <w:ind w:left="0" w:right="12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(3)</w:t>
            </w:r>
          </w:p>
        </w:tc>
        <w:tc>
          <w:tcPr>
            <w:tcW w:type="dxa" w:w="5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4" w:lineRule="exact" w:before="0" w:after="0"/>
              <w:ind w:left="12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tive equilibrium structure are donated by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 xml:space="preserve">0 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,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 xml:space="preserve"> E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>−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>−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, and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 xml:space="preserve"> E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 xml:space="preserve">+ 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>+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,</w:t>
            </w:r>
          </w:p>
        </w:tc>
      </w:tr>
      <w:tr>
        <w:trPr>
          <w:trHeight w:hRule="exact" w:val="186"/>
        </w:trPr>
        <w:tc>
          <w:tcPr>
            <w:tcW w:type="dxa" w:w="1428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428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428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428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428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428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428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4" w:after="0"/>
              <w:ind w:left="12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respectively; the cation/anion total energy in the neutral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240" w:right="240" w:bottom="9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679450</wp:posOffset>
            </wp:positionV>
            <wp:extent cx="6137909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2081530</wp:posOffset>
            </wp:positionH>
            <wp:positionV relativeFrom="page">
              <wp:posOffset>4761230</wp:posOffset>
            </wp:positionV>
            <wp:extent cx="16255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162559" cy="127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68" w:after="0"/>
        <w:ind w:left="0" w:right="0"/>
      </w:pPr>
    </w:p>
    <w:p>
      <w:pPr>
        <w:autoSpaceDN w:val="0"/>
        <w:tabs>
          <w:tab w:pos="8224" w:val="left"/>
        </w:tabs>
        <w:autoSpaceDE w:val="0"/>
        <w:widowControl/>
        <w:spacing w:line="138" w:lineRule="exact" w:before="0" w:after="320"/>
        <w:ind w:left="752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20"/>
        </w:rPr>
        <w:t xml:space="preserve">4 </w:t>
      </w:r>
      <w:r>
        <w:tab/>
      </w:r>
      <w:r>
        <w:rPr>
          <w:spacing w:val="-10"/>
          <w:rFonts w:ascii="GillSansMTPro" w:hAnsi="GillSansMTPro" w:eastAsia="GillSansMTPro"/>
          <w:i/>
          <w:color w:val="231F20"/>
          <w:sz w:val="20"/>
        </w:rPr>
        <w:t>Journal of Chemical Research</w:t>
      </w:r>
    </w:p>
    <w:p>
      <w:pPr>
        <w:sectPr>
          <w:pgSz w:w="11906" w:h="16838"/>
          <w:pgMar w:top="240" w:right="240" w:bottom="84" w:left="240" w:header="720" w:footer="720" w:gutter="0"/>
          <w:cols/>
          <w:docGrid w:linePitch="360"/>
        </w:sectPr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5220" w:type="dxa"/>
        <w:gridCol w:w="5340" w:type="dxa"/>
      </w:tblGrid>
      <w:tr>
        <w:trPr>
          <w:trHeight w:hRule="exact" w:val="214"/>
        </w:trPr>
        <w:tc>
          <w:tcPr>
            <w:tcW w:type="dxa" w:w="5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92" w:lineRule="exact" w:before="0" w:after="0"/>
              <w:ind w:left="39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geometry is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 xml:space="preserve">0 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>+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/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>−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and the neutral in the cation/anion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8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tures likely impact key properties, such as molecular polar-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3680" w:type="dxa"/>
        <w:gridCol w:w="6780" w:type="dxa"/>
      </w:tblGrid>
      <w:tr>
        <w:trPr>
          <w:trHeight w:hRule="exact" w:val="264"/>
        </w:trPr>
        <w:tc>
          <w:tcPr>
            <w:tcW w:type="dxa" w:w="3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98" w:lineRule="exact" w:before="0" w:after="0"/>
              <w:ind w:left="39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geometry is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 xml:space="preserve"> E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 xml:space="preserve">+ 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/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 xml:space="preserve"> E</w:t>
            </w:r>
            <w:r>
              <w:rPr>
                <w:spacing w:val="-10"/>
                <w:rFonts w:ascii="SymbolMT" w:hAnsi="SymbolMT" w:eastAsia="SymbolMT"/>
                <w:color w:val="000000"/>
                <w:sz w:val="13"/>
              </w:rPr>
              <w:t>−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13"/>
              </w:rPr>
              <w:t>0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.</w:t>
            </w:r>
          </w:p>
        </w:tc>
        <w:tc>
          <w:tcPr>
            <w:tcW w:type="dxa" w:w="6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48" w:after="0"/>
              <w:ind w:left="166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izability, charge transport behavior, and FMO alignment.</w:t>
            </w:r>
          </w:p>
        </w:tc>
      </w:tr>
    </w:tbl>
    <w:p>
      <w:pPr>
        <w:autoSpaceDN w:val="0"/>
        <w:tabs>
          <w:tab w:pos="5946" w:val="left"/>
        </w:tabs>
        <w:autoSpaceDE w:val="0"/>
        <w:widowControl/>
        <w:spacing w:line="182" w:lineRule="exact" w:before="24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Equations (5)–(10) were used to study various reactivity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This pattern aligns with previous computational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parameters, including ionization potential (IP), electron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research where, in twisted donor-acceptor systems, the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affinity (EA), chemical potential (</w:t>
      </w:r>
      <w:r>
        <w:rPr>
          <w:spacing w:val="-10"/>
          <w:rFonts w:ascii="SymbolMT" w:hAnsi="SymbolMT" w:eastAsia="SymbolMT"/>
          <w:color w:val="231F20"/>
          <w:sz w:val="20"/>
        </w:rPr>
        <w:t>μ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), chemical hardness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degree of orbital overlap and charge transfer character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(</w:t>
      </w:r>
      <w:r>
        <w:rPr>
          <w:spacing w:val="-10"/>
          <w:rFonts w:ascii="SymbolMT" w:hAnsi="SymbolMT" w:eastAsia="SymbolMT"/>
          <w:color w:val="231F20"/>
          <w:sz w:val="20"/>
        </w:rPr>
        <w:t>η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), electronegativity (</w:t>
      </w:r>
      <w:r>
        <w:rPr>
          <w:spacing w:val="-10"/>
          <w:rFonts w:ascii="SymbolMT" w:hAnsi="SymbolMT" w:eastAsia="SymbolMT"/>
          <w:color w:val="231F20"/>
          <w:sz w:val="20"/>
        </w:rPr>
        <w:t>χ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), and electrophilicity index (</w:t>
      </w:r>
      <w:r>
        <w:rPr>
          <w:spacing w:val="-10"/>
          <w:rFonts w:ascii="SymbolMT" w:hAnsi="SymbolMT" w:eastAsia="SymbolMT"/>
          <w:color w:val="231F20"/>
          <w:sz w:val="20"/>
        </w:rPr>
        <w:t>ω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),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were modulated by donor–acceptor dihedral angles.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27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6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which provide information about the electrical structure of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DFT analysis of aromatic systems connected to ethylene,</w:t>
      </w:r>
    </w:p>
    <w:p>
      <w:pPr>
        <w:autoSpaceDN w:val="0"/>
        <w:tabs>
          <w:tab w:pos="5706" w:val="left"/>
        </w:tabs>
        <w:autoSpaceDE w:val="0"/>
        <w:widowControl/>
        <w:spacing w:line="198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molecules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21–24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disilane, and ethynylene shows that a dihedral angle of</w:t>
      </w:r>
    </w:p>
    <w:p>
      <w:pPr>
        <w:autoSpaceDN w:val="0"/>
        <w:autoSpaceDE w:val="0"/>
        <w:widowControl/>
        <w:spacing w:line="184" w:lineRule="exact" w:before="56" w:after="28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180° indicates ideal conjugation, while twisted geome-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260" w:type="dxa"/>
      </w:tblPr>
      <w:tblGrid>
        <w:gridCol w:w="3140" w:type="dxa"/>
        <w:gridCol w:w="1180" w:type="dxa"/>
        <w:gridCol w:w="5340" w:type="dxa"/>
      </w:tblGrid>
      <w:tr>
        <w:trPr>
          <w:trHeight w:hRule="exact" w:val="212"/>
        </w:trPr>
        <w:tc>
          <w:tcPr>
            <w:tcW w:type="dxa" w:w="314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156" w:after="0"/>
              <w:ind w:left="0" w:right="83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IP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13"/>
              </w:rPr>
              <w:t>HOMO</w:t>
            </w:r>
          </w:p>
        </w:tc>
        <w:tc>
          <w:tcPr>
            <w:tcW w:type="dxa" w:w="11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50" w:after="0"/>
              <w:ind w:left="0" w:right="11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(5)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30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tries increase the HOMO-LUMO gap and decrease con-</w:t>
            </w:r>
          </w:p>
        </w:tc>
      </w:tr>
      <w:tr>
        <w:trPr>
          <w:trHeight w:hRule="exact" w:val="300"/>
        </w:trPr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2" w:lineRule="exact" w:before="38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jugative interactions.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28</w:t>
            </w:r>
          </w:p>
        </w:tc>
      </w:tr>
    </w:tbl>
    <w:p>
      <w:pPr>
        <w:autoSpaceDN w:val="0"/>
        <w:autoSpaceDE w:val="0"/>
        <w:widowControl/>
        <w:spacing w:line="27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220" w:type="dxa"/>
      </w:tblPr>
      <w:tblGrid>
        <w:gridCol w:w="3160" w:type="dxa"/>
        <w:gridCol w:w="1200" w:type="dxa"/>
        <w:gridCol w:w="4120" w:type="dxa"/>
      </w:tblGrid>
      <w:tr>
        <w:trPr>
          <w:trHeight w:hRule="exact" w:val="340"/>
        </w:trPr>
        <w:tc>
          <w:tcPr>
            <w:tcW w:type="dxa" w:w="3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90" w:lineRule="exact" w:before="90" w:after="0"/>
              <w:ind w:left="0" w:right="836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EA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</w:t>
            </w: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13"/>
              </w:rPr>
              <w:t>LUMO</w:t>
            </w:r>
          </w:p>
        </w:tc>
        <w:tc>
          <w:tcPr>
            <w:tcW w:type="dxa" w:w="1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88" w:after="0"/>
              <w:ind w:left="0" w:right="11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(6)</w:t>
            </w:r>
          </w:p>
        </w:tc>
        <w:tc>
          <w:tcPr>
            <w:tcW w:type="dxa" w:w="4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18" w:lineRule="exact" w:before="60" w:after="0"/>
              <w:ind w:left="126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24"/>
              </w:rPr>
              <w:t>Optoelectronic properties</w:t>
            </w:r>
          </w:p>
        </w:tc>
      </w:tr>
    </w:tbl>
    <w:p>
      <w:pPr>
        <w:autoSpaceDN w:val="0"/>
        <w:autoSpaceDE w:val="0"/>
        <w:widowControl/>
        <w:spacing w:line="180" w:lineRule="exact" w:before="108" w:after="3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optoelectronic properties of the developed molecules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2600" w:type="dxa"/>
      </w:tblPr>
      <w:tblGrid>
        <w:gridCol w:w="2980" w:type="dxa"/>
        <w:gridCol w:w="5340" w:type="dxa"/>
      </w:tblGrid>
      <w:tr>
        <w:trPr>
          <w:trHeight w:hRule="exact" w:val="480"/>
        </w:trPr>
        <w:tc>
          <w:tcPr>
            <w:tcW w:type="dxa" w:w="2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50" w:after="0"/>
              <w:ind w:left="0" w:right="11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(7)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6" w:lineRule="exact" w:before="0" w:after="0"/>
              <w:ind w:left="126" w:right="432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as a function of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–spacer effect are here discussed using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FMO energies (HOMO and LUMO energies) and the</w:t>
            </w:r>
          </w:p>
        </w:tc>
      </w:tr>
    </w:tbl>
    <w:p>
      <w:pPr>
        <w:autoSpaceDN w:val="0"/>
        <w:autoSpaceDE w:val="0"/>
        <w:widowControl/>
        <w:spacing w:line="182" w:lineRule="exact" w:before="30" w:after="28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energy gap. Table 2 and Figure 3 display the HOMO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340" w:type="dxa"/>
      </w:tblPr>
      <w:tblGrid>
        <w:gridCol w:w="1400" w:type="dxa"/>
        <w:gridCol w:w="300" w:type="dxa"/>
        <w:gridCol w:w="1360" w:type="dxa"/>
        <w:gridCol w:w="1180" w:type="dxa"/>
        <w:gridCol w:w="5340" w:type="dxa"/>
      </w:tblGrid>
      <w:tr>
        <w:trPr>
          <w:trHeight w:hRule="exact" w:val="272"/>
        </w:trPr>
        <w:tc>
          <w:tcPr>
            <w:tcW w:type="dxa" w:w="140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50" w:after="0"/>
              <w:ind w:left="0" w:right="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(</w:t>
            </w:r>
          </w:p>
        </w:tc>
        <w:tc>
          <w:tcPr>
            <w:tcW w:type="dxa" w:w="30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56" w:after="0"/>
              <w:ind w:left="0" w:right="0" w:firstLine="0"/>
              <w:jc w:val="center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IP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62" w:lineRule="exact" w:before="10" w:after="0"/>
              <w:ind w:left="102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EA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  <w:u w:val="single"/>
              </w:rPr>
              <w:t>1</w:t>
            </w:r>
          </w:p>
        </w:tc>
        <w:tc>
          <w:tcPr>
            <w:tcW w:type="dxa" w:w="11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50" w:after="0"/>
              <w:ind w:left="0" w:right="11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(8)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0" w:lineRule="exact" w:before="30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and LUMO energies (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>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HOMO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and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LUMO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) as well as the</w:t>
            </w:r>
          </w:p>
        </w:tc>
      </w:tr>
      <w:tr>
        <w:trPr>
          <w:trHeight w:hRule="exact" w:val="230"/>
        </w:trPr>
        <w:tc>
          <w:tcPr>
            <w:tcW w:type="dxa" w:w="2285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2285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6" w:lineRule="exact" w:before="38" w:after="0"/>
              <w:ind w:left="0" w:right="80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2</w:t>
            </w:r>
          </w:p>
        </w:tc>
        <w:tc>
          <w:tcPr>
            <w:tcW w:type="dxa" w:w="2285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6" w:lineRule="exact" w:before="0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HOMO-LUMO energy gap (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>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g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) for D-A′-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-A proposed</w:t>
            </w:r>
          </w:p>
        </w:tc>
      </w:tr>
    </w:tbl>
    <w:p>
      <w:pPr>
        <w:autoSpaceDN w:val="0"/>
        <w:autoSpaceDE w:val="0"/>
        <w:widowControl/>
        <w:spacing w:line="200" w:lineRule="exact" w:before="8" w:after="18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molecules (M1, M2, M3, and M4). Since</w:t>
      </w:r>
      <w:r>
        <w:rPr>
          <w:spacing w:val="-10"/>
          <w:rFonts w:ascii="TimesNewRomanPS" w:hAnsi="TimesNewRomanPS" w:eastAsia="TimesNewRomanPS"/>
          <w:i/>
          <w:color w:val="231F20"/>
          <w:sz w:val="20"/>
        </w:rPr>
        <w:t xml:space="preserve"> E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HOMO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is fre-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280" w:type="dxa"/>
      </w:tblPr>
      <w:tblGrid>
        <w:gridCol w:w="1380" w:type="dxa"/>
        <w:gridCol w:w="300" w:type="dxa"/>
        <w:gridCol w:w="1400" w:type="dxa"/>
        <w:gridCol w:w="1220" w:type="dxa"/>
        <w:gridCol w:w="5340" w:type="dxa"/>
      </w:tblGrid>
      <w:tr>
        <w:trPr>
          <w:trHeight w:hRule="exact" w:val="264"/>
        </w:trPr>
        <w:tc>
          <w:tcPr>
            <w:tcW w:type="dxa" w:w="13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42" w:after="0"/>
              <w:ind w:left="0" w:right="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(</w:t>
            </w:r>
          </w:p>
        </w:tc>
        <w:tc>
          <w:tcPr>
            <w:tcW w:type="dxa" w:w="30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4" w:lineRule="exact" w:before="148" w:after="0"/>
              <w:ind w:left="16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IP</w:t>
            </w:r>
          </w:p>
        </w:tc>
        <w:tc>
          <w:tcPr>
            <w:tcW w:type="dxa" w:w="1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64" w:lineRule="exact" w:before="0" w:after="0"/>
              <w:ind w:left="96" w:right="0" w:firstLine="0"/>
              <w:jc w:val="left"/>
            </w:pPr>
            <w:r>
              <w:rPr>
                <w:spacing w:val="-10"/>
                <w:rFonts w:ascii="TimesNewRomanPS" w:hAnsi="TimesNewRomanPS" w:eastAsia="TimesNewRomanPS"/>
                <w:i/>
                <w:color w:val="000000"/>
                <w:sz w:val="20"/>
              </w:rPr>
              <w:t>EA</w:t>
            </w: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  <w:u w:val="single"/>
              </w:rPr>
              <w:t>1</w:t>
            </w:r>
          </w:p>
        </w:tc>
        <w:tc>
          <w:tcPr>
            <w:tcW w:type="dxa" w:w="122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142" w:after="0"/>
              <w:ind w:left="0" w:right="11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(9)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2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quently linked to the molecule of interest’s capacity to</w:t>
            </w:r>
          </w:p>
        </w:tc>
      </w:tr>
      <w:tr>
        <w:trPr>
          <w:trHeight w:hRule="exact" w:val="218"/>
        </w:trPr>
        <w:tc>
          <w:tcPr>
            <w:tcW w:type="dxa" w:w="2285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2285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1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4" w:lineRule="exact" w:before="40" w:after="0"/>
              <w:ind w:left="0" w:right="85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2</w:t>
            </w:r>
          </w:p>
        </w:tc>
        <w:tc>
          <w:tcPr>
            <w:tcW w:type="dxa" w:w="2285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0" w:lineRule="exact" w:before="0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donate electrons, larger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HOMO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values signify a greater</w:t>
            </w:r>
          </w:p>
        </w:tc>
      </w:tr>
    </w:tbl>
    <w:p>
      <w:pPr>
        <w:autoSpaceDN w:val="0"/>
        <w:autoSpaceDE w:val="0"/>
        <w:widowControl/>
        <w:spacing w:line="182" w:lineRule="exact" w:before="2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capacity to contribute electrons to a receptor’s vacant</w:t>
      </w:r>
    </w:p>
    <w:p>
      <w:pPr>
        <w:autoSpaceDN w:val="0"/>
        <w:tabs>
          <w:tab w:pos="5706" w:val="left"/>
        </w:tabs>
        <w:autoSpaceDE w:val="0"/>
        <w:widowControl/>
        <w:spacing w:line="126" w:lineRule="exact" w:before="0" w:after="18"/>
        <w:ind w:left="3192" w:right="0" w:firstLine="0"/>
        <w:jc w:val="left"/>
      </w:pPr>
      <w:r>
        <w:rPr>
          <w:spacing w:val="-10"/>
          <w:rFonts w:ascii="TimesNewRomanPSMT" w:hAnsi="TimesNewRomanPSMT" w:eastAsia="TimesNewRomanPSMT"/>
          <w:color w:val="000000"/>
          <w:sz w:val="13"/>
        </w:rPr>
        <w:t xml:space="preserve">2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molecular orbital.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15,29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Conversely, a substance with a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520" w:type="dxa"/>
      </w:tblPr>
      <w:tblGrid>
        <w:gridCol w:w="2620" w:type="dxa"/>
        <w:gridCol w:w="1440" w:type="dxa"/>
        <w:gridCol w:w="5340" w:type="dxa"/>
      </w:tblGrid>
      <w:tr>
        <w:trPr>
          <w:trHeight w:hRule="exact" w:val="242"/>
        </w:trPr>
        <w:tc>
          <w:tcPr>
            <w:tcW w:type="dxa" w:w="262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6" w:lineRule="exact" w:before="202" w:after="0"/>
              <w:ind w:left="0" w:right="98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000000"/>
                <w:sz w:val="20"/>
              </w:rPr>
              <w:t>2</w:t>
            </w:r>
          </w:p>
        </w:tc>
        <w:tc>
          <w:tcPr>
            <w:tcW w:type="dxa" w:w="144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40" w:after="0"/>
              <w:ind w:left="0" w:right="11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(10)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0" w:lineRule="exact" w:before="40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higher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20"/>
              </w:rPr>
              <w:t xml:space="preserve"> E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HOMO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can be regarded as an excellent electron</w:t>
            </w:r>
          </w:p>
        </w:tc>
      </w:tr>
      <w:tr>
        <w:trPr>
          <w:trHeight w:hRule="exact" w:val="248"/>
        </w:trPr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38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carrier, but the molecule’s capacity to take electrons is</w:t>
            </w:r>
          </w:p>
        </w:tc>
      </w:tr>
    </w:tbl>
    <w:p>
      <w:pPr>
        <w:autoSpaceDN w:val="0"/>
        <w:autoSpaceDE w:val="0"/>
        <w:widowControl/>
        <w:spacing w:line="200" w:lineRule="exact" w:before="3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correlated with its</w:t>
      </w:r>
      <w:r>
        <w:rPr>
          <w:spacing w:val="-10"/>
          <w:rFonts w:ascii="TimesNewRomanPS" w:hAnsi="TimesNewRomanPS" w:eastAsia="TimesNewRomanPS"/>
          <w:i/>
          <w:color w:val="231F20"/>
          <w:sz w:val="20"/>
        </w:rPr>
        <w:t xml:space="preserve"> E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LUMO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value. As a result, a material</w:t>
      </w:r>
    </w:p>
    <w:p>
      <w:pPr>
        <w:autoSpaceDN w:val="0"/>
        <w:autoSpaceDE w:val="0"/>
        <w:widowControl/>
        <w:spacing w:line="200" w:lineRule="exact" w:before="40" w:after="12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with a lower</w:t>
      </w:r>
      <w:r>
        <w:rPr>
          <w:spacing w:val="-10"/>
          <w:rFonts w:ascii="TimesNewRomanPS" w:hAnsi="TimesNewRomanPS" w:eastAsia="TimesNewRomanPS"/>
          <w:i/>
          <w:color w:val="231F20"/>
          <w:sz w:val="20"/>
        </w:rPr>
        <w:t xml:space="preserve"> E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LUMO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value is more capable of accepting</w:t>
      </w:r>
    </w:p>
    <w:p>
      <w:pPr>
        <w:sectPr>
          <w:type w:val="continuous"/>
          <w:pgSz w:w="11906" w:h="16838"/>
          <w:pgMar w:top="240" w:right="240" w:bottom="84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68" w:lineRule="exact" w:before="0" w:after="28"/>
        <w:ind w:left="752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4"/>
        </w:rPr>
        <w:t xml:space="preserve">Results and discussion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electrons and acting as a carrier of holes.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30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4760" w:type="dxa"/>
        <w:gridCol w:w="5800" w:type="dxa"/>
      </w:tblGrid>
      <w:tr>
        <w:trPr>
          <w:trHeight w:hRule="exact" w:val="470"/>
        </w:trPr>
        <w:tc>
          <w:tcPr>
            <w:tcW w:type="dxa" w:w="4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2" w:lineRule="exact" w:before="122" w:after="0"/>
              <w:ind w:left="39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24"/>
              </w:rPr>
              <w:t>Geometry optimization and dihedral angle</w:t>
            </w:r>
          </w:p>
        </w:tc>
        <w:tc>
          <w:tcPr>
            <w:tcW w:type="dxa" w:w="5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6" w:lineRule="exact" w:before="0" w:after="0"/>
              <w:ind w:left="586" w:right="432" w:firstLine="24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Smaller HOMO-LUMO gap values indicate increased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conductivity and decreased kinetic stability.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31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M4 has the</w:t>
            </w:r>
          </w:p>
        </w:tc>
      </w:tr>
    </w:tbl>
    <w:p>
      <w:pPr>
        <w:autoSpaceDN w:val="0"/>
        <w:tabs>
          <w:tab w:pos="5706" w:val="left"/>
        </w:tabs>
        <w:autoSpaceDE w:val="0"/>
        <w:widowControl/>
        <w:spacing w:line="238" w:lineRule="exact" w:before="0" w:after="3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Although our earlier publication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15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established the structural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smallest gap (1.4896 eV) among the series, suggesting a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and FMO characteristics of the M1–M4 series, these param-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more robust intramolecular charge transfer character and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eters are used here as a fundamental baseline to investigate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 more efficient orbital coupling through the spacer.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charge-transport dynamics that have not been explored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Conjugation was not completely suppressed by the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before. By adding NBO analysis and reorganization energy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increased twist in M4, perhaps as a result of compensatory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calculations, the current study greatly expands the current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electrical effects. As observed in Figure 3, M3 is situated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580" w:type="dxa"/>
        <w:gridCol w:w="700" w:type="dxa"/>
        <w:gridCol w:w="460" w:type="dxa"/>
        <w:gridCol w:w="620" w:type="dxa"/>
        <w:gridCol w:w="700" w:type="dxa"/>
        <w:gridCol w:w="1160" w:type="dxa"/>
        <w:gridCol w:w="5340" w:type="dxa"/>
      </w:tblGrid>
      <w:tr>
        <w:trPr>
          <w:trHeight w:hRule="exact" w:val="190"/>
        </w:trPr>
        <w:tc>
          <w:tcPr>
            <w:tcW w:type="dxa" w:w="1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8" w:after="0"/>
              <w:ind w:left="39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photophysical</w:t>
            </w:r>
          </w:p>
        </w:tc>
        <w:tc>
          <w:tcPr>
            <w:tcW w:type="dxa" w:w="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profile</w:t>
            </w:r>
          </w:p>
        </w:tc>
        <w:tc>
          <w:tcPr>
            <w:tcW w:type="dxa" w:w="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and</w:t>
            </w:r>
          </w:p>
        </w:tc>
        <w:tc>
          <w:tcPr>
            <w:tcW w:type="dxa" w:w="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offers</w:t>
            </w:r>
          </w:p>
        </w:tc>
        <w:tc>
          <w:tcPr>
            <w:tcW w:type="dxa" w:w="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deeper</w:t>
            </w:r>
          </w:p>
        </w:tc>
        <w:tc>
          <w:tcPr>
            <w:tcW w:type="dxa" w:w="1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mechanistic</w:t>
            </w:r>
          </w:p>
        </w:tc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8" w:after="0"/>
              <w:ind w:left="12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between M1 and M2, with a very small gap (1.5830 eV).</w:t>
            </w:r>
          </w:p>
        </w:tc>
      </w:tr>
    </w:tbl>
    <w:p>
      <w:pPr>
        <w:autoSpaceDN w:val="0"/>
        <w:autoSpaceDE w:val="0"/>
        <w:widowControl/>
        <w:spacing w:line="14" w:lineRule="exact" w:before="0" w:after="58"/>
        <w:ind w:left="0" w:right="0"/>
      </w:pPr>
    </w:p>
    <w:p>
      <w:pPr>
        <w:sectPr>
          <w:type w:val="continuous"/>
          <w:pgSz w:w="11906" w:h="16838"/>
          <w:pgMar w:top="240" w:right="240" w:bottom="84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insights into the electronic coupling and carrier mobility of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Larger gaps (1.5919 and 1.6888 eV, respectively) are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6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these developed molecules.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maintained by M1 and M2, which is consistent with either</w:t>
      </w:r>
    </w:p>
    <w:p>
      <w:pPr>
        <w:autoSpaceDN w:val="0"/>
        <w:tabs>
          <w:tab w:pos="5706" w:val="left"/>
        </w:tabs>
        <w:autoSpaceDE w:val="0"/>
        <w:widowControl/>
        <w:spacing w:line="184" w:lineRule="exact" w:before="54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Geometry optimization refers to the techniques used to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significantly less conjugation or a more electron-with-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determine a molecule’s three-dimensional atomic arrange-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drawing character in the spacer. With the exception of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ment and reduce its model energy. Specific geometric vari-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steric effects or substituent interactions, the trend of</w:t>
      </w:r>
    </w:p>
    <w:p>
      <w:pPr>
        <w:autoSpaceDN w:val="0"/>
        <w:tabs>
          <w:tab w:pos="5706" w:val="left"/>
        </w:tabs>
        <w:autoSpaceDE w:val="0"/>
        <w:widowControl/>
        <w:spacing w:line="226" w:lineRule="exact" w:before="14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ables, such as the dihedral angle, were considered in order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decreasing</w:t>
      </w:r>
      <w:r>
        <w:rPr>
          <w:spacing w:val="-10"/>
          <w:rFonts w:ascii="TimesNewRomanPS" w:hAnsi="TimesNewRomanPS" w:eastAsia="TimesNewRomanPS"/>
          <w:i/>
          <w:color w:val="231F20"/>
          <w:sz w:val="20"/>
        </w:rPr>
        <w:t xml:space="preserve"> E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g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, in the order M2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M1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M4, quali-</w:t>
      </w:r>
    </w:p>
    <w:p>
      <w:pPr>
        <w:autoSpaceDN w:val="0"/>
        <w:tabs>
          <w:tab w:pos="5706" w:val="left"/>
        </w:tabs>
        <w:autoSpaceDE w:val="0"/>
        <w:widowControl/>
        <w:spacing w:line="184" w:lineRule="exact" w:before="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to assess the conformation of these proposed molecules.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tatively coincides with increased conjugation and planarity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Figure 2 shows the optimal arrangement of each examined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(lower twist). Greater ease of electrical excitation or charge</w:t>
      </w:r>
    </w:p>
    <w:p>
      <w:pPr>
        <w:autoSpaceDN w:val="0"/>
        <w:tabs>
          <w:tab w:pos="5706" w:val="left"/>
        </w:tabs>
        <w:autoSpaceDE w:val="0"/>
        <w:widowControl/>
        <w:spacing w:line="198" w:lineRule="exact" w:before="0" w:after="14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molecule.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transfer is suggested by the narrower</w:t>
      </w:r>
      <w:r>
        <w:rPr>
          <w:spacing w:val="-10"/>
          <w:rFonts w:ascii="TimesNewRomanPS" w:hAnsi="TimesNewRomanPS" w:eastAsia="TimesNewRomanPS"/>
          <w:i/>
          <w:color w:val="231F20"/>
          <w:sz w:val="20"/>
        </w:rPr>
        <w:t xml:space="preserve"> E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g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in M4, which is</w:t>
      </w:r>
    </w:p>
    <w:p>
      <w:pPr>
        <w:sectPr>
          <w:type w:val="continuous"/>
          <w:pgSz w:w="11906" w:h="16838"/>
          <w:pgMar w:top="240" w:right="240" w:bottom="84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82" w:lineRule="exact" w:before="0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dihedral angle between the donor,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-spacer, and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advantageous in organic semiconductor or OPV settings;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acceptor units is a crucial factor in determining the degree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however, stability and reorganization energy must also be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58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of planarity within the D-A′-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-A molecular architecture.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balanced.</w:t>
      </w:r>
    </w:p>
    <w:p>
      <w:pPr>
        <w:sectPr>
          <w:type w:val="continuous"/>
          <w:pgSz w:w="11906" w:h="16838"/>
          <w:pgMar w:top="240" w:right="240" w:bottom="84" w:left="240" w:header="720" w:footer="720" w:gutter="0"/>
          <w:cols/>
          <w:docGrid w:linePitch="360"/>
        </w:sectPr>
      </w:pPr>
    </w:p>
    <w:p>
      <w:pPr>
        <w:autoSpaceDN w:val="0"/>
        <w:tabs>
          <w:tab w:pos="5946" w:val="left"/>
        </w:tabs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According to optimized geometries derived from DFT sim-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M1–M4 series’ systematic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 engineering is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ulations, molecule conformation is significantly influenced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an atomic-scale molecular development technique intended</w:t>
      </w:r>
    </w:p>
    <w:p>
      <w:pPr>
        <w:autoSpaceDN w:val="0"/>
        <w:tabs>
          <w:tab w:pos="5706" w:val="left"/>
        </w:tabs>
        <w:autoSpaceDE w:val="0"/>
        <w:widowControl/>
        <w:spacing w:line="184" w:lineRule="exact" w:before="54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by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-spacer’s nature.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to adjust the degree of planarity and conjugation. This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Figure 2 and Table 1 show that the studied D-A′-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-A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method successfully modifies the charge transfer character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molecules are planar, with dihedral angles near 180°. This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and FMO (HOMO/LUMO) levels, which directly affects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6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indicates that the chosen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-spacers promote extended con-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reorganization energies and the anticipated charge-</w:t>
      </w:r>
    </w:p>
    <w:p>
      <w:pPr>
        <w:autoSpaceDN w:val="0"/>
        <w:tabs>
          <w:tab w:pos="5706" w:val="left"/>
        </w:tabs>
        <w:autoSpaceDE w:val="0"/>
        <w:widowControl/>
        <w:spacing w:line="202" w:lineRule="exact" w:before="20" w:after="3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jugation throughout the donor-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-acceptor framework. Such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transport and optoelectronic performance.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32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study that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5220" w:type="dxa"/>
        <w:gridCol w:w="800" w:type="dxa"/>
        <w:gridCol w:w="520" w:type="dxa"/>
        <w:gridCol w:w="580" w:type="dxa"/>
        <w:gridCol w:w="1720" w:type="dxa"/>
        <w:gridCol w:w="960" w:type="dxa"/>
        <w:gridCol w:w="760" w:type="dxa"/>
      </w:tblGrid>
      <w:tr>
        <w:trPr>
          <w:trHeight w:hRule="exact" w:val="240"/>
        </w:trPr>
        <w:tc>
          <w:tcPr>
            <w:tcW w:type="dxa" w:w="5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8" w:after="0"/>
              <w:ind w:left="39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planarity enables effective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-electron delocalization, which</w:t>
            </w:r>
          </w:p>
        </w:tc>
        <w:tc>
          <w:tcPr>
            <w:tcW w:type="dxa" w:w="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follows</w:t>
            </w:r>
          </w:p>
        </w:tc>
        <w:tc>
          <w:tcPr>
            <w:tcW w:type="dxa" w:w="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4" w:lineRule="exact" w:before="7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uses</w:t>
            </w:r>
          </w:p>
        </w:tc>
        <w:tc>
          <w:tcPr>
            <w:tcW w:type="dxa" w:w="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these</w:t>
            </w:r>
          </w:p>
        </w:tc>
        <w:tc>
          <w:tcPr>
            <w:tcW w:type="dxa" w:w="1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electronic-structure</w:t>
            </w:r>
          </w:p>
        </w:tc>
        <w:tc>
          <w:tcPr>
            <w:tcW w:type="dxa" w:w="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rationales</w:t>
            </w:r>
          </w:p>
        </w:tc>
        <w:tc>
          <w:tcPr>
            <w:tcW w:type="dxa" w:w="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4" w:lineRule="exact" w:before="74" w:after="0"/>
              <w:ind w:left="9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as</w:t>
            </w:r>
          </w:p>
        </w:tc>
      </w:tr>
    </w:tbl>
    <w:p>
      <w:pPr>
        <w:autoSpaceDN w:val="0"/>
        <w:tabs>
          <w:tab w:pos="5706" w:val="left"/>
        </w:tabs>
        <w:autoSpaceDE w:val="0"/>
        <w:widowControl/>
        <w:spacing w:line="182" w:lineRule="exact" w:before="26" w:after="2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improves electrical communication between donor and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screening-level descriptors to assess the dyes’ viability for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5220" w:type="dxa"/>
        <w:gridCol w:w="700" w:type="dxa"/>
        <w:gridCol w:w="1200" w:type="dxa"/>
        <w:gridCol w:w="840" w:type="dxa"/>
        <w:gridCol w:w="560" w:type="dxa"/>
        <w:gridCol w:w="420" w:type="dxa"/>
        <w:gridCol w:w="1620" w:type="dxa"/>
      </w:tblGrid>
      <w:tr>
        <w:trPr>
          <w:trHeight w:hRule="exact" w:val="200"/>
        </w:trPr>
        <w:tc>
          <w:tcPr>
            <w:tcW w:type="dxa" w:w="5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0" w:lineRule="exact" w:before="18" w:after="0"/>
              <w:ind w:left="392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acceptor units.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3"/>
              </w:rPr>
              <w:t>25,26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It is anticipated that these structural fea-</w:t>
            </w:r>
          </w:p>
        </w:tc>
        <w:tc>
          <w:tcPr>
            <w:tcW w:type="dxa" w:w="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8" w:lineRule="exact" w:before="40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DSSC</w:t>
            </w:r>
          </w:p>
        </w:tc>
        <w:tc>
          <w:tcPr>
            <w:tcW w:type="dxa" w:w="1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3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applications,</w:t>
            </w:r>
          </w:p>
        </w:tc>
        <w:tc>
          <w:tcPr>
            <w:tcW w:type="dxa" w:w="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3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building</w:t>
            </w:r>
          </w:p>
        </w:tc>
        <w:tc>
          <w:tcPr>
            <w:tcW w:type="dxa" w:w="5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4" w:lineRule="exact" w:before="84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upon</w:t>
            </w:r>
          </w:p>
        </w:tc>
        <w:tc>
          <w:tcPr>
            <w:tcW w:type="dxa" w:w="4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3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38" w:after="0"/>
              <w:ind w:left="9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excited-state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type w:val="continuous"/>
          <w:pgSz w:w="11906" w:h="16838"/>
          <w:pgMar w:top="240" w:right="240" w:bottom="84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679450</wp:posOffset>
            </wp:positionV>
            <wp:extent cx="6137910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10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1631950</wp:posOffset>
            </wp:positionH>
            <wp:positionV relativeFrom="page">
              <wp:posOffset>996950</wp:posOffset>
            </wp:positionV>
            <wp:extent cx="4457700" cy="74676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74676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70" w:after="0"/>
        <w:ind w:left="0" w:right="0"/>
      </w:pPr>
    </w:p>
    <w:p>
      <w:pPr>
        <w:autoSpaceDN w:val="0"/>
        <w:tabs>
          <w:tab w:pos="10574" w:val="left"/>
        </w:tabs>
        <w:autoSpaceDE w:val="0"/>
        <w:widowControl/>
        <w:spacing w:line="140" w:lineRule="exact" w:before="0" w:after="426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i/>
          <w:color w:val="231F20"/>
          <w:sz w:val="20"/>
        </w:rPr>
        <w:t xml:space="preserve">Abubakari et al. 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20"/>
        </w:rPr>
        <w:t>5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2188" w:type="dxa"/>
      </w:tblPr>
      <w:tblGrid>
        <w:gridCol w:w="7305" w:type="dxa"/>
      </w:tblGrid>
      <w:tr>
        <w:trPr>
          <w:trHeight w:hRule="exact" w:val="12054"/>
        </w:trPr>
        <w:tc>
          <w:tcPr>
            <w:tcW w:type="dxa" w:w="7306"/>
            <w:tcBorders>
              <w:left w:sz="4.0" w:val="single" w:color="221F1F"/>
              <w:top w:sz="4.0" w:val="single" w:color="221F1F"/>
              <w:right w:sz="4.0" w:val="single" w:color="221F1F"/>
              <w:bottom w:sz="4.0" w:val="single" w:color="221F1F"/>
            </w:tcBorders>
            <w:tcMar>
              <w:left w:w="0" w:type="dxa"/>
              <w:right w:w="0" w:type="dxa"/>
            </w:tcMar>
          </w:tcPr>
          <w:p/>
        </w:tc>
      </w:tr>
    </w:tbl>
    <w:p>
      <w:pPr>
        <w:autoSpaceDN w:val="0"/>
        <w:autoSpaceDE w:val="0"/>
        <w:widowControl/>
        <w:spacing w:line="166" w:lineRule="exact" w:before="244" w:after="412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18"/>
        </w:rPr>
        <w:t>Figure 2.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optimal structure for all proposed D-A</w:t>
      </w:r>
      <w:r>
        <w:rPr>
          <w:spacing w:val="-10"/>
          <w:rFonts w:ascii="Calibri" w:hAnsi="Calibri" w:eastAsia="Calibri"/>
          <w:color w:val="231F20"/>
          <w:sz w:val="18"/>
        </w:rPr>
        <w:t>′</w:t>
      </w:r>
      <w:r>
        <w:rPr>
          <w:spacing w:val="-10"/>
          <w:rFonts w:ascii="GillSansMTPro" w:hAnsi="GillSansMTPro" w:eastAsia="GillSansMTPro"/>
          <w:color w:val="231F20"/>
          <w:sz w:val="18"/>
        </w:rPr>
        <w:t>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GillSansMTPro" w:hAnsi="GillSansMTPro" w:eastAsia="GillSansMTPro"/>
          <w:color w:val="231F20"/>
          <w:sz w:val="18"/>
        </w:rPr>
        <w:t>-A molecular systems.</w:t>
      </w:r>
    </w:p>
    <w:p>
      <w:pPr>
        <w:sectPr>
          <w:pgSz w:w="11906" w:h="16838"/>
          <w:pgMar w:top="240" w:right="240" w:bottom="92" w:left="240" w:header="720" w:footer="720" w:gutter="0"/>
          <w:cols/>
          <w:docGrid w:linePitch="360"/>
        </w:sectPr>
      </w:pPr>
    </w:p>
    <w:p>
      <w:pPr>
        <w:autoSpaceDN w:val="0"/>
        <w:tabs>
          <w:tab w:pos="5960" w:val="left"/>
        </w:tabs>
        <w:autoSpaceDE w:val="0"/>
        <w:widowControl/>
        <w:spacing w:line="180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profiles and TD-DFT absorption characteristics developed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offers a helpful paradigm for examining intramolecular and</w:t>
      </w:r>
    </w:p>
    <w:p>
      <w:pPr>
        <w:autoSpaceDN w:val="0"/>
        <w:tabs>
          <w:tab w:pos="5960" w:val="left"/>
        </w:tabs>
        <w:autoSpaceDE w:val="0"/>
        <w:widowControl/>
        <w:spacing w:line="198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in our earlier work.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15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intermolecular linkages as well as bond interactions.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33</w:t>
      </w:r>
    </w:p>
    <w:p>
      <w:pPr>
        <w:autoSpaceDN w:val="0"/>
        <w:autoSpaceDE w:val="0"/>
        <w:widowControl/>
        <w:spacing w:line="182" w:lineRule="exact" w:before="58" w:after="30"/>
        <w:ind w:left="0" w:right="752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Therefore, NBO analysis was carried out here to determine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4820" w:type="dxa"/>
        <w:gridCol w:w="5720" w:type="dxa"/>
      </w:tblGrid>
      <w:tr>
        <w:trPr>
          <w:trHeight w:hRule="exact" w:val="480"/>
        </w:trPr>
        <w:tc>
          <w:tcPr>
            <w:tcW w:type="dxa" w:w="4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2" w:lineRule="exact" w:before="120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24"/>
              </w:rPr>
              <w:t>Charge population and Molecular linkage</w:t>
            </w:r>
          </w:p>
        </w:tc>
        <w:tc>
          <w:tcPr>
            <w:tcW w:type="dxa" w:w="5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4" w:lineRule="exact" w:before="0" w:after="0"/>
              <w:ind w:left="640" w:right="288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the charge populations for the proposed molecules. Table 3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shows that the donor and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-linker groups of all the pro-</w:t>
            </w:r>
          </w:p>
        </w:tc>
      </w:tr>
    </w:tbl>
    <w:p>
      <w:pPr>
        <w:autoSpaceDN w:val="0"/>
        <w:tabs>
          <w:tab w:pos="5960" w:val="left"/>
        </w:tabs>
        <w:autoSpaceDE w:val="0"/>
        <w:widowControl/>
        <w:spacing w:line="182" w:lineRule="exact" w:before="2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When studying conjugative interactions or charge transfer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posed molecules (except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-linker in M2) possess posi-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 molecular systems, NBO analysis is a crucial tool. It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tive NBO charges, confirming their effectiveness as</w:t>
      </w:r>
    </w:p>
    <w:p>
      <w:pPr>
        <w:sectPr>
          <w:type w:val="continuous"/>
          <w:pgSz w:w="11906" w:h="16838"/>
          <w:pgMar w:top="240" w:right="240" w:bottom="9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679450</wp:posOffset>
            </wp:positionV>
            <wp:extent cx="6137909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1059180</wp:posOffset>
            </wp:positionV>
            <wp:extent cx="613790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2674620</wp:posOffset>
            </wp:positionV>
            <wp:extent cx="613790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1576070</wp:posOffset>
            </wp:positionV>
            <wp:extent cx="613790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1384300</wp:posOffset>
            </wp:positionH>
            <wp:positionV relativeFrom="page">
              <wp:posOffset>1294130</wp:posOffset>
            </wp:positionV>
            <wp:extent cx="161798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161798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3286760</wp:posOffset>
            </wp:positionH>
            <wp:positionV relativeFrom="page">
              <wp:posOffset>1294130</wp:posOffset>
            </wp:positionV>
            <wp:extent cx="160401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160401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5175250</wp:posOffset>
            </wp:positionH>
            <wp:positionV relativeFrom="page">
              <wp:posOffset>1294130</wp:posOffset>
            </wp:positionV>
            <wp:extent cx="159257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1592579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3272790</wp:posOffset>
            </wp:positionV>
            <wp:extent cx="299339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99339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3505200</wp:posOffset>
            </wp:positionV>
            <wp:extent cx="299339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99339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4168140</wp:posOffset>
            </wp:positionV>
            <wp:extent cx="299339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99339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730250</wp:posOffset>
            </wp:positionH>
            <wp:positionV relativeFrom="page">
              <wp:posOffset>4521200</wp:posOffset>
            </wp:positionV>
            <wp:extent cx="2787650" cy="20574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2787650" cy="20574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3775710</wp:posOffset>
            </wp:positionH>
            <wp:positionV relativeFrom="page">
              <wp:posOffset>3139440</wp:posOffset>
            </wp:positionV>
            <wp:extent cx="299211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2119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3775710</wp:posOffset>
            </wp:positionH>
            <wp:positionV relativeFrom="page">
              <wp:posOffset>3371850</wp:posOffset>
            </wp:positionV>
            <wp:extent cx="299211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2119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3775710</wp:posOffset>
            </wp:positionH>
            <wp:positionV relativeFrom="page">
              <wp:posOffset>4034790</wp:posOffset>
            </wp:positionV>
            <wp:extent cx="2992119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2119" cy="127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68" w:after="0"/>
        <w:ind w:left="0" w:right="0"/>
      </w:pPr>
    </w:p>
    <w:p>
      <w:pPr>
        <w:autoSpaceDN w:val="0"/>
        <w:tabs>
          <w:tab w:pos="8224" w:val="left"/>
        </w:tabs>
        <w:autoSpaceDE w:val="0"/>
        <w:widowControl/>
        <w:spacing w:line="140" w:lineRule="exact" w:before="0" w:after="0"/>
        <w:ind w:left="752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20"/>
        </w:rPr>
        <w:t xml:space="preserve">6 </w:t>
      </w:r>
      <w:r>
        <w:tab/>
      </w:r>
      <w:r>
        <w:rPr>
          <w:spacing w:val="-10"/>
          <w:rFonts w:ascii="GillSansMTPro" w:hAnsi="GillSansMTPro" w:eastAsia="GillSansMTPro"/>
          <w:i/>
          <w:color w:val="231F20"/>
          <w:sz w:val="20"/>
        </w:rPr>
        <w:t>Journal of Chemical Research</w:t>
      </w:r>
    </w:p>
    <w:p>
      <w:pPr>
        <w:autoSpaceDN w:val="0"/>
        <w:autoSpaceDE w:val="0"/>
        <w:widowControl/>
        <w:spacing w:line="166" w:lineRule="exact" w:before="396" w:after="144"/>
        <w:ind w:left="752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18"/>
        </w:rPr>
        <w:t>Table 1.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selected dihedral angle of the produced D-A</w:t>
      </w:r>
      <w:r>
        <w:rPr>
          <w:spacing w:val="-10"/>
          <w:rFonts w:ascii="Calibri" w:hAnsi="Calibri" w:eastAsia="Calibri"/>
          <w:i/>
          <w:color w:val="231F20"/>
          <w:sz w:val="18"/>
        </w:rPr>
        <w:t>′</w:t>
      </w:r>
      <w:r>
        <w:rPr>
          <w:spacing w:val="-10"/>
          <w:rFonts w:ascii="GillSansMTPro" w:hAnsi="GillSansMTPro" w:eastAsia="GillSansMTPro"/>
          <w:color w:val="231F20"/>
          <w:sz w:val="18"/>
        </w:rPr>
        <w:t>-</w:t>
      </w:r>
      <w:r>
        <w:rPr>
          <w:spacing w:val="-10"/>
          <w:rFonts w:ascii="Calibri" w:hAnsi="Calibri" w:eastAsia="Calibri"/>
          <w:color w:val="231F20"/>
          <w:sz w:val="18"/>
        </w:rPr>
        <w:t>π</w:t>
      </w:r>
      <w:r>
        <w:rPr>
          <w:spacing w:val="-10"/>
          <w:rFonts w:ascii="GillSansMTPro" w:hAnsi="GillSansMTPro" w:eastAsia="GillSansMTPro"/>
          <w:color w:val="231F20"/>
          <w:sz w:val="18"/>
        </w:rPr>
        <w:t>-A molecules.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340" w:type="dxa"/>
        <w:gridCol w:w="1900" w:type="dxa"/>
        <w:gridCol w:w="2980" w:type="dxa"/>
        <w:gridCol w:w="3220" w:type="dxa"/>
      </w:tblGrid>
      <w:tr>
        <w:trPr>
          <w:trHeight w:hRule="exact" w:val="246"/>
        </w:trPr>
        <w:tc>
          <w:tcPr>
            <w:tcW w:type="dxa" w:w="1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2" w:after="0"/>
              <w:ind w:left="0" w:right="21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Molecules</w:t>
            </w:r>
          </w:p>
        </w:tc>
        <w:tc>
          <w:tcPr>
            <w:tcW w:type="dxa" w:w="1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0" w:after="0"/>
              <w:ind w:left="24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D-A</w:t>
            </w:r>
            <w:r>
              <w:rPr>
                <w:spacing w:val="-10"/>
                <w:rFonts w:ascii="Calibri" w:hAnsi="Calibri" w:eastAsia="Calibri"/>
                <w:color w:val="231F20"/>
                <w:sz w:val="18"/>
              </w:rPr>
              <w:t>′</w:t>
            </w:r>
          </w:p>
        </w:tc>
        <w:tc>
          <w:tcPr>
            <w:tcW w:type="dxa" w:w="2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A</w:t>
            </w:r>
            <w:r>
              <w:rPr>
                <w:spacing w:val="-10"/>
                <w:rFonts w:ascii="Calibri" w:hAnsi="Calibri" w:eastAsia="Calibri"/>
                <w:color w:val="231F20"/>
                <w:sz w:val="18"/>
              </w:rPr>
              <w:t>′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-</w:t>
            </w:r>
            <w:r>
              <w:rPr>
                <w:spacing w:val="-10"/>
                <w:rFonts w:ascii="Calibri" w:hAnsi="Calibri" w:eastAsia="Calibri"/>
                <w:color w:val="231F20"/>
                <w:sz w:val="18"/>
              </w:rPr>
              <w:t>π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1612" w:firstLine="0"/>
              <w:jc w:val="right"/>
            </w:pPr>
            <w:r>
              <w:rPr>
                <w:spacing w:val="-10"/>
                <w:rFonts w:ascii="Calibri" w:hAnsi="Calibri" w:eastAsia="Calibri"/>
                <w:color w:val="231F20"/>
                <w:sz w:val="18"/>
              </w:rPr>
              <w:t>π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-A</w:t>
            </w:r>
          </w:p>
        </w:tc>
      </w:tr>
    </w:tbl>
    <w:p>
      <w:pPr>
        <w:autoSpaceDN w:val="0"/>
        <w:autoSpaceDE w:val="0"/>
        <w:widowControl/>
        <w:spacing w:line="20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960" w:type="dxa"/>
      </w:tblPr>
      <w:tblGrid>
        <w:gridCol w:w="2180" w:type="dxa"/>
        <w:gridCol w:w="1540" w:type="dxa"/>
        <w:gridCol w:w="1460" w:type="dxa"/>
        <w:gridCol w:w="1520" w:type="dxa"/>
        <w:gridCol w:w="1460" w:type="dxa"/>
        <w:gridCol w:w="1800" w:type="dxa"/>
      </w:tblGrid>
      <w:tr>
        <w:trPr>
          <w:trHeight w:hRule="exact" w:val="246"/>
        </w:trPr>
        <w:tc>
          <w:tcPr>
            <w:tcW w:type="dxa" w:w="21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62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ANGLE</w:t>
            </w:r>
          </w:p>
        </w:tc>
        <w:tc>
          <w:tcPr>
            <w:tcW w:type="dxa" w:w="1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23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DEGREE</w:t>
            </w:r>
          </w:p>
        </w:tc>
        <w:tc>
          <w:tcPr>
            <w:tcW w:type="dxa" w:w="1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256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ANGLE</w:t>
            </w:r>
          </w:p>
        </w:tc>
        <w:tc>
          <w:tcPr>
            <w:tcW w:type="dxa" w:w="1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21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DEGREE</w:t>
            </w:r>
          </w:p>
        </w:tc>
        <w:tc>
          <w:tcPr>
            <w:tcW w:type="dxa" w:w="1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25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ANGLE</w:t>
            </w:r>
          </w:p>
        </w:tc>
        <w:tc>
          <w:tcPr>
            <w:tcW w:type="dxa" w:w="1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5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DEGREE</w:t>
            </w:r>
          </w:p>
        </w:tc>
      </w:tr>
    </w:tbl>
    <w:p>
      <w:pPr>
        <w:autoSpaceDN w:val="0"/>
        <w:autoSpaceDE w:val="0"/>
        <w:widowControl/>
        <w:spacing w:line="10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00" w:type="dxa"/>
        <w:gridCol w:w="2100" w:type="dxa"/>
        <w:gridCol w:w="1140" w:type="dxa"/>
        <w:gridCol w:w="1820" w:type="dxa"/>
        <w:gridCol w:w="1160" w:type="dxa"/>
        <w:gridCol w:w="1840" w:type="dxa"/>
        <w:gridCol w:w="1360" w:type="dxa"/>
      </w:tblGrid>
      <w:tr>
        <w:trPr>
          <w:trHeight w:hRule="exact" w:val="238"/>
        </w:trPr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2" w:lineRule="exact" w:before="62" w:after="0"/>
              <w:ind w:left="0" w:right="47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M1</w:t>
            </w:r>
          </w:p>
        </w:tc>
        <w:tc>
          <w:tcPr>
            <w:tcW w:type="dxa" w:w="2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48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C12-C11-C23-C24</w:t>
            </w:r>
          </w:p>
        </w:tc>
        <w:tc>
          <w:tcPr>
            <w:tcW w:type="dxa" w:w="1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–179.971</w:t>
            </w:r>
          </w:p>
        </w:tc>
        <w:tc>
          <w:tcPr>
            <w:tcW w:type="dxa" w:w="1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C26-C28-C43-S42</w:t>
            </w:r>
          </w:p>
        </w:tc>
        <w:tc>
          <w:tcPr>
            <w:tcW w:type="dxa" w:w="1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–179.950</w:t>
            </w:r>
          </w:p>
        </w:tc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C40-C41-C32-C33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23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179.992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960" w:type="dxa"/>
      </w:tblPr>
      <w:tblGrid>
        <w:gridCol w:w="2600" w:type="dxa"/>
        <w:gridCol w:w="1140" w:type="dxa"/>
        <w:gridCol w:w="1820" w:type="dxa"/>
        <w:gridCol w:w="2900" w:type="dxa"/>
      </w:tblGrid>
      <w:tr>
        <w:trPr>
          <w:trHeight w:hRule="exact" w:val="230"/>
        </w:trPr>
        <w:tc>
          <w:tcPr>
            <w:tcW w:type="dxa" w:w="2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222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C10-C11-C23-C25</w:t>
            </w:r>
          </w:p>
        </w:tc>
        <w:tc>
          <w:tcPr>
            <w:tcW w:type="dxa" w:w="1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–179.972</w:t>
            </w:r>
          </w:p>
        </w:tc>
        <w:tc>
          <w:tcPr>
            <w:tcW w:type="dxa" w:w="1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C27-C28-C43-S39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26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–179.960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20" w:type="dxa"/>
        <w:gridCol w:w="2120" w:type="dxa"/>
        <w:gridCol w:w="1100" w:type="dxa"/>
        <w:gridCol w:w="1880" w:type="dxa"/>
        <w:gridCol w:w="1100" w:type="dxa"/>
        <w:gridCol w:w="1840" w:type="dxa"/>
        <w:gridCol w:w="1360" w:type="dxa"/>
      </w:tblGrid>
      <w:tr>
        <w:trPr>
          <w:trHeight w:hRule="exact" w:val="250"/>
        </w:trPr>
        <w:tc>
          <w:tcPr>
            <w:tcW w:type="dxa" w:w="1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]M2</w:t>
            </w:r>
          </w:p>
        </w:tc>
        <w:tc>
          <w:tcPr>
            <w:tcW w:type="dxa" w:w="2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46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C12-C11-C23-C24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178.281</w:t>
            </w:r>
          </w:p>
        </w:tc>
        <w:tc>
          <w:tcPr>
            <w:tcW w:type="dxa" w:w="1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C26-C28-C48-S47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175.023</w:t>
            </w:r>
          </w:p>
        </w:tc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C40-C41-C44-C33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23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179.646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960" w:type="dxa"/>
      </w:tblPr>
      <w:tblGrid>
        <w:gridCol w:w="2640" w:type="dxa"/>
        <w:gridCol w:w="1100" w:type="dxa"/>
        <w:gridCol w:w="1880" w:type="dxa"/>
        <w:gridCol w:w="2840" w:type="dxa"/>
      </w:tblGrid>
      <w:tr>
        <w:trPr>
          <w:trHeight w:hRule="exact" w:val="230"/>
        </w:trPr>
        <w:tc>
          <w:tcPr>
            <w:tcW w:type="dxa" w:w="2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262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C10-C11-C23-C25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177.819</w:t>
            </w:r>
          </w:p>
        </w:tc>
        <w:tc>
          <w:tcPr>
            <w:tcW w:type="dxa" w:w="1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C27-C28-C48-S49</w:t>
            </w:r>
          </w:p>
        </w:tc>
        <w:tc>
          <w:tcPr>
            <w:tcW w:type="dxa" w:w="2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29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174.821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00" w:type="dxa"/>
        <w:gridCol w:w="2100" w:type="dxa"/>
        <w:gridCol w:w="1140" w:type="dxa"/>
        <w:gridCol w:w="1820" w:type="dxa"/>
        <w:gridCol w:w="1160" w:type="dxa"/>
        <w:gridCol w:w="1840" w:type="dxa"/>
        <w:gridCol w:w="1360" w:type="dxa"/>
      </w:tblGrid>
      <w:tr>
        <w:trPr>
          <w:trHeight w:hRule="exact" w:val="230"/>
        </w:trPr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47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M3</w:t>
            </w:r>
          </w:p>
        </w:tc>
        <w:tc>
          <w:tcPr>
            <w:tcW w:type="dxa" w:w="2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48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C12-C11-C23-C24</w:t>
            </w:r>
          </w:p>
        </w:tc>
        <w:tc>
          <w:tcPr>
            <w:tcW w:type="dxa" w:w="1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–176.852</w:t>
            </w:r>
          </w:p>
        </w:tc>
        <w:tc>
          <w:tcPr>
            <w:tcW w:type="dxa" w:w="1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C26-C28-C54-S53</w:t>
            </w:r>
          </w:p>
        </w:tc>
        <w:tc>
          <w:tcPr>
            <w:tcW w:type="dxa" w:w="1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–175.527</w:t>
            </w:r>
          </w:p>
        </w:tc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C48-C49-C32-C33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23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179.084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960" w:type="dxa"/>
      </w:tblPr>
      <w:tblGrid>
        <w:gridCol w:w="2600" w:type="dxa"/>
        <w:gridCol w:w="1140" w:type="dxa"/>
        <w:gridCol w:w="1840" w:type="dxa"/>
        <w:gridCol w:w="2880" w:type="dxa"/>
      </w:tblGrid>
      <w:tr>
        <w:trPr>
          <w:trHeight w:hRule="exact" w:val="230"/>
        </w:trPr>
        <w:tc>
          <w:tcPr>
            <w:tcW w:type="dxa" w:w="2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222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C10-C11-C23-C25</w:t>
            </w:r>
          </w:p>
        </w:tc>
        <w:tc>
          <w:tcPr>
            <w:tcW w:type="dxa" w:w="1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–176.747</w:t>
            </w:r>
          </w:p>
        </w:tc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C27-C28-C54-C50</w:t>
            </w:r>
          </w:p>
        </w:tc>
        <w:tc>
          <w:tcPr>
            <w:tcW w:type="dxa" w:w="2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24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–175.997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00" w:type="dxa"/>
        <w:gridCol w:w="2100" w:type="dxa"/>
        <w:gridCol w:w="1140" w:type="dxa"/>
        <w:gridCol w:w="1840" w:type="dxa"/>
        <w:gridCol w:w="1140" w:type="dxa"/>
        <w:gridCol w:w="1840" w:type="dxa"/>
        <w:gridCol w:w="1360" w:type="dxa"/>
      </w:tblGrid>
      <w:tr>
        <w:trPr>
          <w:trHeight w:hRule="exact" w:val="218"/>
        </w:trPr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52" w:after="0"/>
              <w:ind w:left="0" w:right="47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M4</w:t>
            </w:r>
          </w:p>
        </w:tc>
        <w:tc>
          <w:tcPr>
            <w:tcW w:type="dxa" w:w="2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48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C12-C11-C23-C24</w:t>
            </w:r>
          </w:p>
        </w:tc>
        <w:tc>
          <w:tcPr>
            <w:tcW w:type="dxa" w:w="1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–176.203</w:t>
            </w:r>
          </w:p>
        </w:tc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C26-C28-C45-C44</w:t>
            </w:r>
          </w:p>
        </w:tc>
        <w:tc>
          <w:tcPr>
            <w:tcW w:type="dxa" w:w="1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–175.590</w:t>
            </w:r>
          </w:p>
        </w:tc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C49-C48-C32-C33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23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179.985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474"/>
        <w:ind w:left="0" w:right="0"/>
      </w:pPr>
    </w:p>
    <w:p>
      <w:pPr>
        <w:sectPr>
          <w:pgSz w:w="11906" w:h="16838"/>
          <w:pgMar w:top="240" w:right="240" w:bottom="134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78" w:lineRule="exact" w:before="0" w:after="10"/>
        <w:ind w:left="752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18"/>
        </w:rPr>
        <w:t>Table 2.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</w:t>
      </w:r>
      <w:r>
        <w:rPr>
          <w:spacing w:val="-10"/>
          <w:rFonts w:ascii="GillSansMTPro" w:hAnsi="GillSansMTPro" w:eastAsia="GillSansMTPro"/>
          <w:i/>
          <w:color w:val="231F20"/>
          <w:sz w:val="18"/>
        </w:rPr>
        <w:t xml:space="preserve"> E</w:t>
      </w:r>
      <w:r>
        <w:rPr>
          <w:spacing w:val="-10"/>
          <w:w w:val="97.49999841054282"/>
          <w:rFonts w:ascii="GillSansMTPro" w:hAnsi="GillSansMTPro" w:eastAsia="GillSansMTPro"/>
          <w:color w:val="231F20"/>
          <w:sz w:val="12"/>
        </w:rPr>
        <w:t>HOMO</w:t>
      </w:r>
      <w:r>
        <w:rPr>
          <w:spacing w:val="-10"/>
          <w:rFonts w:ascii="GillSansMTPro" w:hAnsi="GillSansMTPro" w:eastAsia="GillSansMTPro"/>
          <w:color w:val="231F20"/>
          <w:sz w:val="18"/>
        </w:rPr>
        <w:t>,</w:t>
      </w:r>
      <w:r>
        <w:rPr>
          <w:spacing w:val="-10"/>
          <w:rFonts w:ascii="GillSansMTPro" w:hAnsi="GillSansMTPro" w:eastAsia="GillSansMTPro"/>
          <w:i/>
          <w:color w:val="231F20"/>
          <w:sz w:val="18"/>
        </w:rPr>
        <w:t xml:space="preserve"> E</w:t>
      </w:r>
      <w:r>
        <w:rPr>
          <w:spacing w:val="-10"/>
          <w:w w:val="97.49999841054282"/>
          <w:rFonts w:ascii="GillSansMTPro" w:hAnsi="GillSansMTPro" w:eastAsia="GillSansMTPro"/>
          <w:color w:val="231F20"/>
          <w:sz w:val="12"/>
        </w:rPr>
        <w:t>LUMO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, and HOMO-LUMO energies gap </w:t>
      </w:r>
      <w:r>
        <w:tab/>
      </w:r>
      <w:r>
        <w:rPr>
          <w:spacing w:val="-10"/>
          <w:rFonts w:ascii="GillSansMTPro" w:hAnsi="GillSansMTPro" w:eastAsia="GillSansMTPro"/>
          <w:b/>
          <w:color w:val="231F20"/>
          <w:sz w:val="18"/>
        </w:rPr>
        <w:t>Table 3.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NBO analysis for all proposed molecules M1–M4.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3660" w:type="dxa"/>
        <w:gridCol w:w="2960" w:type="dxa"/>
        <w:gridCol w:w="760" w:type="dxa"/>
        <w:gridCol w:w="800" w:type="dxa"/>
        <w:gridCol w:w="820" w:type="dxa"/>
        <w:gridCol w:w="1520" w:type="dxa"/>
      </w:tblGrid>
      <w:tr>
        <w:trPr>
          <w:trHeight w:hRule="exact" w:val="370"/>
        </w:trPr>
        <w:tc>
          <w:tcPr>
            <w:tcW w:type="dxa" w:w="3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6" w:lineRule="exact" w:before="22" w:after="0"/>
              <w:ind w:left="39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for proposed M1–M4.</w:t>
            </w:r>
          </w:p>
        </w:tc>
        <w:tc>
          <w:tcPr>
            <w:tcW w:type="dxa" w:w="2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184" w:after="0"/>
              <w:ind w:left="0" w:right="282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Molecules D</w:t>
            </w:r>
          </w:p>
        </w:tc>
        <w:tc>
          <w:tcPr>
            <w:tcW w:type="dxa" w:w="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18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A</w:t>
            </w:r>
            <w:r>
              <w:rPr>
                <w:spacing w:val="-10"/>
                <w:rFonts w:ascii="Calibri" w:hAnsi="Calibri" w:eastAsia="Calibri"/>
                <w:color w:val="231F20"/>
                <w:sz w:val="18"/>
              </w:rPr>
              <w:t>′</w:t>
            </w:r>
          </w:p>
        </w:tc>
        <w:tc>
          <w:tcPr>
            <w:tcW w:type="dxa" w:w="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86" w:lineRule="exact" w:before="222" w:after="0"/>
              <w:ind w:left="0" w:right="0" w:firstLine="0"/>
              <w:jc w:val="center"/>
            </w:pPr>
            <w:r>
              <w:rPr>
                <w:spacing w:val="-10"/>
                <w:rFonts w:ascii="Calibri" w:hAnsi="Calibri" w:eastAsia="Calibri"/>
                <w:color w:val="231F20"/>
                <w:sz w:val="18"/>
              </w:rPr>
              <w:t>π</w:t>
            </w:r>
          </w:p>
        </w:tc>
        <w:tc>
          <w:tcPr>
            <w:tcW w:type="dxa" w:w="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18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A</w:t>
            </w:r>
          </w:p>
        </w:tc>
        <w:tc>
          <w:tcPr>
            <w:tcW w:type="dxa" w:w="1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6" w:lineRule="exact" w:before="182" w:after="0"/>
              <w:ind w:left="358" w:right="0" w:firstLine="0"/>
              <w:jc w:val="left"/>
            </w:pP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Δ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q(D-A)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400" w:type="dxa"/>
        <w:gridCol w:w="1420" w:type="dxa"/>
        <w:gridCol w:w="1360" w:type="dxa"/>
        <w:gridCol w:w="1040" w:type="dxa"/>
        <w:gridCol w:w="660" w:type="dxa"/>
        <w:gridCol w:w="1780" w:type="dxa"/>
        <w:gridCol w:w="1680" w:type="dxa"/>
        <w:gridCol w:w="1200" w:type="dxa"/>
      </w:tblGrid>
      <w:tr>
        <w:trPr>
          <w:trHeight w:hRule="exact" w:val="354"/>
        </w:trPr>
        <w:tc>
          <w:tcPr>
            <w:tcW w:type="dxa" w:w="1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44" w:after="0"/>
              <w:ind w:left="0" w:right="27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Molecules</w:t>
            </w:r>
          </w:p>
        </w:tc>
        <w:tc>
          <w:tcPr>
            <w:tcW w:type="dxa" w:w="14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78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18"/>
              </w:rPr>
              <w:t>E</w:t>
            </w:r>
            <w:r>
              <w:rPr>
                <w:spacing w:val="-10"/>
                <w:w w:val="97.49999841054282"/>
                <w:rFonts w:ascii="GillSansMTPro" w:hAnsi="GillSansMTPro" w:eastAsia="GillSansMTPro"/>
                <w:color w:val="231F20"/>
                <w:sz w:val="12"/>
              </w:rPr>
              <w:t>HOMO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 xml:space="preserve"> (eV)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78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18"/>
              </w:rPr>
              <w:t>E</w:t>
            </w:r>
            <w:r>
              <w:rPr>
                <w:spacing w:val="-10"/>
                <w:w w:val="97.49999841054282"/>
                <w:rFonts w:ascii="GillSansMTPro" w:hAnsi="GillSansMTPro" w:eastAsia="GillSansMTPro"/>
                <w:color w:val="231F20"/>
                <w:sz w:val="12"/>
              </w:rPr>
              <w:t>LUMO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 xml:space="preserve"> (eV)</w:t>
            </w:r>
          </w:p>
        </w:tc>
        <w:tc>
          <w:tcPr>
            <w:tcW w:type="dxa" w:w="1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4" w:lineRule="exact" w:before="42" w:after="0"/>
              <w:ind w:left="0" w:right="12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18"/>
              </w:rPr>
              <w:t>E</w:t>
            </w:r>
            <w:r>
              <w:rPr>
                <w:spacing w:val="-10"/>
                <w:w w:val="97.49999841054282"/>
                <w:rFonts w:ascii="GillSansMTPro" w:hAnsi="GillSansMTPro" w:eastAsia="GillSansMTPro"/>
                <w:color w:val="231F20"/>
                <w:sz w:val="12"/>
              </w:rPr>
              <w:t>gap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 xml:space="preserve"> (eV)</w:t>
            </w:r>
          </w:p>
        </w:tc>
        <w:tc>
          <w:tcPr>
            <w:tcW w:type="dxa" w:w="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2" w:lineRule="exact" w:before="188" w:after="0"/>
              <w:ind w:left="126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M1</w:t>
            </w:r>
          </w:p>
        </w:tc>
        <w:tc>
          <w:tcPr>
            <w:tcW w:type="dxa" w:w="1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186" w:after="0"/>
              <w:ind w:left="324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1.11298 −1.2426</w:t>
            </w:r>
          </w:p>
        </w:tc>
        <w:tc>
          <w:tcPr>
            <w:tcW w:type="dxa" w:w="1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186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1.05896 −1.82755</w:t>
            </w:r>
          </w:p>
        </w:tc>
        <w:tc>
          <w:tcPr>
            <w:tcW w:type="dxa" w:w="1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186" w:after="0"/>
              <w:ind w:left="12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2.94053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60" w:type="dxa"/>
        <w:gridCol w:w="1540" w:type="dxa"/>
        <w:gridCol w:w="1380" w:type="dxa"/>
        <w:gridCol w:w="1080" w:type="dxa"/>
        <w:gridCol w:w="720" w:type="dxa"/>
        <w:gridCol w:w="2640" w:type="dxa"/>
        <w:gridCol w:w="2020" w:type="dxa"/>
      </w:tblGrid>
      <w:tr>
        <w:trPr>
          <w:trHeight w:hRule="exact" w:val="230"/>
        </w:trPr>
        <w:tc>
          <w:tcPr>
            <w:tcW w:type="dxa" w:w="1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2" w:lineRule="exact" w:before="44" w:after="0"/>
              <w:ind w:left="0" w:right="53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M1</w:t>
            </w:r>
          </w:p>
        </w:tc>
        <w:tc>
          <w:tcPr>
            <w:tcW w:type="dxa" w:w="1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4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–5.0540</w:t>
            </w:r>
          </w:p>
        </w:tc>
        <w:tc>
          <w:tcPr>
            <w:tcW w:type="dxa" w:w="1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–3.4621</w:t>
            </w:r>
          </w:p>
        </w:tc>
        <w:tc>
          <w:tcPr>
            <w:tcW w:type="dxa" w:w="1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186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1.5919</w:t>
            </w:r>
          </w:p>
        </w:tc>
        <w:tc>
          <w:tcPr>
            <w:tcW w:type="dxa" w:w="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2" w:after="0"/>
              <w:ind w:left="0" w:right="3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M2</w:t>
            </w:r>
          </w:p>
        </w:tc>
        <w:tc>
          <w:tcPr>
            <w:tcW w:type="dxa" w:w="2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324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1.12491 −1.24561 −1.06142</w:t>
            </w:r>
          </w:p>
        </w:tc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13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1.76896 −0.64405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60" w:type="dxa"/>
        <w:gridCol w:w="1540" w:type="dxa"/>
        <w:gridCol w:w="1380" w:type="dxa"/>
        <w:gridCol w:w="1080" w:type="dxa"/>
        <w:gridCol w:w="720" w:type="dxa"/>
        <w:gridCol w:w="1820" w:type="dxa"/>
        <w:gridCol w:w="1640" w:type="dxa"/>
        <w:gridCol w:w="1200" w:type="dxa"/>
      </w:tblGrid>
      <w:tr>
        <w:trPr>
          <w:trHeight w:hRule="exact" w:val="230"/>
        </w:trPr>
        <w:tc>
          <w:tcPr>
            <w:tcW w:type="dxa" w:w="1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42" w:after="0"/>
              <w:ind w:left="0" w:right="53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M2</w:t>
            </w:r>
          </w:p>
        </w:tc>
        <w:tc>
          <w:tcPr>
            <w:tcW w:type="dxa" w:w="1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4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–4.9786</w:t>
            </w:r>
          </w:p>
        </w:tc>
        <w:tc>
          <w:tcPr>
            <w:tcW w:type="dxa" w:w="1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–3.2898</w:t>
            </w:r>
          </w:p>
        </w:tc>
        <w:tc>
          <w:tcPr>
            <w:tcW w:type="dxa" w:w="1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186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1.6888</w:t>
            </w:r>
          </w:p>
        </w:tc>
        <w:tc>
          <w:tcPr>
            <w:tcW w:type="dxa" w:w="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0" w:right="3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M3</w:t>
            </w:r>
          </w:p>
        </w:tc>
        <w:tc>
          <w:tcPr>
            <w:tcW w:type="dxa" w:w="1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324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1.09843 −1.24565</w:t>
            </w:r>
          </w:p>
        </w:tc>
        <w:tc>
          <w:tcPr>
            <w:tcW w:type="dxa" w:w="1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0.94466 −1.70516</w:t>
            </w:r>
          </w:p>
        </w:tc>
        <w:tc>
          <w:tcPr>
            <w:tcW w:type="dxa" w:w="1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12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2.80359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60" w:type="dxa"/>
        <w:gridCol w:w="1540" w:type="dxa"/>
        <w:gridCol w:w="1380" w:type="dxa"/>
        <w:gridCol w:w="1080" w:type="dxa"/>
        <w:gridCol w:w="720" w:type="dxa"/>
        <w:gridCol w:w="1820" w:type="dxa"/>
        <w:gridCol w:w="1640" w:type="dxa"/>
        <w:gridCol w:w="1200" w:type="dxa"/>
      </w:tblGrid>
      <w:tr>
        <w:trPr>
          <w:trHeight w:hRule="exact" w:val="230"/>
        </w:trPr>
        <w:tc>
          <w:tcPr>
            <w:tcW w:type="dxa" w:w="1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536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M3</w:t>
            </w:r>
          </w:p>
        </w:tc>
        <w:tc>
          <w:tcPr>
            <w:tcW w:type="dxa" w:w="1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4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–4.9163</w:t>
            </w:r>
          </w:p>
        </w:tc>
        <w:tc>
          <w:tcPr>
            <w:tcW w:type="dxa" w:w="1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–3.3333</w:t>
            </w:r>
          </w:p>
        </w:tc>
        <w:tc>
          <w:tcPr>
            <w:tcW w:type="dxa" w:w="1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18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1.5830</w:t>
            </w:r>
          </w:p>
        </w:tc>
        <w:tc>
          <w:tcPr>
            <w:tcW w:type="dxa" w:w="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2" w:after="0"/>
              <w:ind w:left="0" w:right="3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M4</w:t>
            </w:r>
          </w:p>
        </w:tc>
        <w:tc>
          <w:tcPr>
            <w:tcW w:type="dxa" w:w="1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324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1.10313 −1.24668</w:t>
            </w:r>
          </w:p>
        </w:tc>
        <w:tc>
          <w:tcPr>
            <w:tcW w:type="dxa" w:w="1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1.08663 −1.82643</w:t>
            </w:r>
          </w:p>
        </w:tc>
        <w:tc>
          <w:tcPr>
            <w:tcW w:type="dxa" w:w="1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2" w:after="0"/>
              <w:ind w:left="12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2.92956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360" w:type="dxa"/>
      </w:tblPr>
      <w:tblGrid>
        <w:gridCol w:w="1160" w:type="dxa"/>
        <w:gridCol w:w="1540" w:type="dxa"/>
        <w:gridCol w:w="1380" w:type="dxa"/>
        <w:gridCol w:w="3940" w:type="dxa"/>
      </w:tblGrid>
      <w:tr>
        <w:trPr>
          <w:trHeight w:hRule="exact" w:val="228"/>
        </w:trPr>
        <w:tc>
          <w:tcPr>
            <w:tcW w:type="dxa" w:w="1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42" w:after="0"/>
              <w:ind w:left="0" w:right="536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M4</w:t>
            </w:r>
          </w:p>
        </w:tc>
        <w:tc>
          <w:tcPr>
            <w:tcW w:type="dxa" w:w="1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40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–4.8469</w:t>
            </w:r>
          </w:p>
        </w:tc>
        <w:tc>
          <w:tcPr>
            <w:tcW w:type="dxa" w:w="1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–3.3573</w:t>
            </w:r>
          </w:p>
        </w:tc>
        <w:tc>
          <w:tcPr>
            <w:tcW w:type="dxa" w:w="3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42" w:after="0"/>
              <w:ind w:left="406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1.4896</w:t>
            </w:r>
          </w:p>
        </w:tc>
      </w:tr>
    </w:tbl>
    <w:p>
      <w:pPr>
        <w:autoSpaceDN w:val="0"/>
        <w:autoSpaceDE w:val="0"/>
        <w:widowControl/>
        <w:spacing w:line="182" w:lineRule="exact" w:before="308" w:after="28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NBO charges on each dye molecule’s donor groups</w:t>
      </w:r>
    </w:p>
    <w:p>
      <w:pPr>
        <w:sectPr>
          <w:type w:val="continuous"/>
          <w:pgSz w:w="11906" w:h="16838"/>
          <w:pgMar w:top="240" w:right="240" w:bottom="134" w:left="240" w:header="720" w:footer="720" w:gutter="0"/>
          <w:cols/>
          <w:docGrid w:linePitch="360"/>
        </w:sectPr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00" w:type="dxa"/>
      </w:tblPr>
      <w:tblGrid>
        <w:gridCol w:w="5160" w:type="dxa"/>
        <w:gridCol w:w="5360" w:type="dxa"/>
      </w:tblGrid>
      <w:tr>
        <w:trPr>
          <w:trHeight w:hRule="exact" w:val="3610"/>
        </w:trPr>
        <w:tc>
          <w:tcPr>
            <w:tcW w:type="dxa" w:w="5160"/>
            <w:tcBorders/>
            <w:tcMar>
              <w:left w:w="0" w:type="dxa"/>
              <w:right w:w="0" w:type="dxa"/>
            </w:tcMar>
          </w:tcPr>
          <w:tbl>
            <w:tblPr>
              <w:tblW w:type="auto" w:w="0"/>
              <w:tblLayout w:type="fixed"/>
              <w:tblLook w:firstColumn="1" w:firstRow="1" w:lastColumn="0" w:lastRow="0" w:noHBand="0" w:noVBand="1" w:val="04A0"/>
              <w:tblInd w:w="404" w:type="dxa"/>
            </w:tblPr>
            <w:tblGrid>
              <w:gridCol w:w="4608" w:type="dxa"/>
            </w:tblGrid>
            <w:tr>
              <w:trPr>
                <w:trHeight w:hRule="exact" w:val="3374"/>
              </w:trPr>
              <w:tc>
                <w:tcPr>
                  <w:tcW w:type="dxa" w:w="4608"/>
                  <w:tcBorders>
                    <w:left w:sz="4.0" w:val="single" w:color="221F1F"/>
                    <w:top w:sz="4.0" w:val="single" w:color="221F1F"/>
                    <w:right w:sz="4.0" w:val="single" w:color="221F1F"/>
                    <w:bottom w:sz="4.0" w:val="single" w:color="221F1F"/>
                  </w:tcBorders>
                  <w:tcMar>
                    <w:left w:w="0" w:type="dxa"/>
                    <w:right w:w="0" w:type="dxa"/>
                  </w:tcMar>
                </w:tcPr>
                <w:p/>
              </w:tc>
            </w:tr>
          </w:tbl>
          <w:p>
            <w:pPr>
              <w:autoSpaceDN w:val="0"/>
              <w:autoSpaceDE w:val="0"/>
              <w:widowControl/>
              <w:spacing w:line="14" w:lineRule="exact" w:before="0" w:after="0"/>
              <w:ind w:left="0" w:right="0"/>
            </w:pPr>
          </w:p>
        </w:tc>
        <w:tc>
          <w:tcPr>
            <w:tcW w:type="dxa" w:w="5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36" w:lineRule="exact" w:before="0" w:after="0"/>
              <w:ind w:left="146" w:right="502" w:firstLine="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during photoexcitation were sorted as follows, based on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Table 3; M2 (1.12491e)</w:t>
            </w:r>
            <w:r>
              <w:rPr>
                <w:spacing w:val="-10"/>
                <w:rFonts w:ascii="MathematicalPiLTStd" w:hAnsi="MathematicalPiLTStd" w:eastAsia="MathematicalPiLTStd"/>
                <w:color w:val="231F20"/>
                <w:sz w:val="20"/>
              </w:rPr>
              <w:t xml:space="preserve"> &gt;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M1 (1.11298e)</w:t>
            </w:r>
            <w:r>
              <w:rPr>
                <w:spacing w:val="-10"/>
                <w:rFonts w:ascii="MathematicalPiLTStd" w:hAnsi="MathematicalPiLTStd" w:eastAsia="MathematicalPiLTStd"/>
                <w:color w:val="231F20"/>
                <w:sz w:val="20"/>
              </w:rPr>
              <w:t xml:space="preserve"> &gt;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M4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(1.10313e)</w:t>
            </w:r>
            <w:r>
              <w:rPr>
                <w:spacing w:val="-10"/>
                <w:rFonts w:ascii="MathematicalPiLTStd" w:hAnsi="MathematicalPiLTStd" w:eastAsia="MathematicalPiLTStd"/>
                <w:color w:val="231F20"/>
                <w:sz w:val="20"/>
              </w:rPr>
              <w:t xml:space="preserve"> &gt;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M3 (1.09843e). M1 and M4 dominate in the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donation capacity because M2 has a negative NBO value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in its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-linker position that facilitates poor donation of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electrons toward the acceptor. M1 and M4 can therefore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give electrons more easily than the other molecules, based</w:t>
            </w:r>
          </w:p>
          <w:p>
            <w:pPr>
              <w:autoSpaceDN w:val="0"/>
              <w:autoSpaceDE w:val="0"/>
              <w:widowControl/>
              <w:spacing w:line="140" w:lineRule="exact" w:before="58" w:after="0"/>
              <w:ind w:left="146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on these facts.</w:t>
            </w:r>
          </w:p>
          <w:p>
            <w:pPr>
              <w:autoSpaceDN w:val="0"/>
              <w:autoSpaceDE w:val="0"/>
              <w:widowControl/>
              <w:spacing w:line="240" w:lineRule="exact" w:before="42" w:after="0"/>
              <w:ind w:left="146" w:right="502" w:firstLine="24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 NBO charges for the acceptor groups were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−1.82755, −1.76896, −1.70516, and −1.82643 for M1–M4,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in that order. The electron donor and acceptor’s differential</w:t>
            </w:r>
            <w:r>
              <w:br/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>Δ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q(D-A) is also highlighted in the following order: M1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(2.94053e)</w:t>
            </w:r>
            <w:r>
              <w:rPr>
                <w:spacing w:val="-10"/>
                <w:rFonts w:ascii="MathematicalPiLTStd" w:hAnsi="MathematicalPiLTStd" w:eastAsia="MathematicalPiLTStd"/>
                <w:color w:val="231F20"/>
                <w:sz w:val="20"/>
              </w:rPr>
              <w:t xml:space="preserve"> &gt;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M4 (2.92956e)</w:t>
            </w:r>
            <w:r>
              <w:rPr>
                <w:spacing w:val="-10"/>
                <w:rFonts w:ascii="MathematicalPiLTStd" w:hAnsi="MathematicalPiLTStd" w:eastAsia="MathematicalPiLTStd"/>
                <w:color w:val="231F20"/>
                <w:sz w:val="20"/>
              </w:rPr>
              <w:t xml:space="preserve"> &gt;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M3 (2.80256e)</w:t>
            </w:r>
            <w:r>
              <w:rPr>
                <w:spacing w:val="-10"/>
                <w:rFonts w:ascii="MathematicalPiLTStd" w:hAnsi="MathematicalPiLTStd" w:eastAsia="MathematicalPiLTStd"/>
                <w:color w:val="231F20"/>
                <w:sz w:val="20"/>
              </w:rPr>
              <w:t xml:space="preserve"> &gt;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 M2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(-0.64405e). Table 3 demonstrates that M1 and M4 have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 largest</w:t>
            </w:r>
            <w:r>
              <w:rPr>
                <w:spacing w:val="-10"/>
                <w:rFonts w:ascii="SymbolMT" w:hAnsi="SymbolMT" w:eastAsia="SymbolMT"/>
                <w:color w:val="231F20"/>
                <w:sz w:val="20"/>
              </w:rPr>
              <w:t xml:space="preserve"> Δ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q(D-A) of 2.94053e and 2.92956e. As a result,</w:t>
            </w:r>
          </w:p>
        </w:tc>
      </w:tr>
    </w:tbl>
    <w:p>
      <w:pPr>
        <w:autoSpaceDN w:val="0"/>
        <w:tabs>
          <w:tab w:pos="5706" w:val="left"/>
        </w:tabs>
        <w:autoSpaceDE w:val="0"/>
        <w:widowControl/>
        <w:spacing w:line="184" w:lineRule="exact" w:before="0" w:after="0"/>
        <w:ind w:left="752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18"/>
        </w:rPr>
        <w:t>Figure 3.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electron excitation ability of the proposed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M1 and M4 have a larger charge separation than other pro-</w:t>
      </w:r>
    </w:p>
    <w:p>
      <w:pPr>
        <w:autoSpaceDN w:val="0"/>
        <w:tabs>
          <w:tab w:pos="5706" w:val="left"/>
        </w:tabs>
        <w:autoSpaceDE w:val="0"/>
        <w:widowControl/>
        <w:spacing w:line="170" w:lineRule="exact" w:before="0" w:after="0"/>
        <w:ind w:left="752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18"/>
        </w:rPr>
        <w:t xml:space="preserve">M1–M4 molecules.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duced molecules. Therefore, it can be concluded that M4</w:t>
      </w:r>
    </w:p>
    <w:p>
      <w:pPr>
        <w:autoSpaceDN w:val="0"/>
        <w:autoSpaceDE w:val="0"/>
        <w:widowControl/>
        <w:spacing w:line="182" w:lineRule="exact" w:before="68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outperforms M1 in charge separation. This is supported by</w:t>
      </w:r>
    </w:p>
    <w:p>
      <w:pPr>
        <w:autoSpaceDN w:val="0"/>
        <w:autoSpaceDE w:val="0"/>
        <w:widowControl/>
        <w:spacing w:line="182" w:lineRule="exact" w:before="58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comparison of their energy gaps and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Δ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q(D-A) values,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electron-donating groups. Conversely, the negative NBO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where M4 exhibits a significantly larger reduction in energy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charges observed for both the internal and external acceptor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gap (0.1023 eV) and slightly higher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Δ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q(D-A) with differ-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units (with the exception of the external acceptor in M2)</w:t>
      </w:r>
    </w:p>
    <w:p>
      <w:pPr>
        <w:autoSpaceDN w:val="0"/>
        <w:autoSpaceDE w:val="0"/>
        <w:widowControl/>
        <w:spacing w:line="17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ence of 0.01097. So, these NBO metric contribute to the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indicate their strong electron-withdrawing ability.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hypothesis that an optimal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 promotes better orbital</w:t>
      </w:r>
    </w:p>
    <w:p>
      <w:pPr>
        <w:autoSpaceDN w:val="0"/>
        <w:autoSpaceDE w:val="0"/>
        <w:widowControl/>
        <w:spacing w:line="182" w:lineRule="exact" w:before="0" w:after="0"/>
        <w:ind w:left="99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negative charge concentrated on the M2 spacer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communication and charge separation, thereby improving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(−1.06142e) in the NBO analysis is a noteworthy finding</w:t>
      </w:r>
    </w:p>
    <w:p>
      <w:pPr>
        <w:autoSpaceDN w:val="0"/>
        <w:autoSpaceDE w:val="0"/>
        <w:widowControl/>
        <w:spacing w:line="182" w:lineRule="exact" w:before="0" w:after="0"/>
        <w:ind w:left="0" w:right="3286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charge transfer characteristics.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that contract with positive charges found for the other spac-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Although ICT is essentially a dynamic excited-state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ers in this investigation. The M2 framework’s 4-(thiophene-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phenomenon, charge separation potential can be evaluated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3-yl)pyridine is responsible for this negative character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using ground-state NBO and FMO investigations as crucial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since it serves as an electron-accumulating site. From a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benchmarks. The strong spatial decoupling of FMOs in M1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kinetic standpoint, this concentrated negative density can</w:t>
      </w:r>
    </w:p>
    <w:p>
      <w:pPr>
        <w:autoSpaceDN w:val="0"/>
        <w:autoSpaceDE w:val="0"/>
        <w:widowControl/>
        <w:spacing w:line="200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and M4 that were reported to our previous work,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15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where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be produced on electronic trap between the donor and the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LUMO moves toward the anchoring group while the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anchoring group. In comparison to the other developed</w:t>
      </w:r>
    </w:p>
    <w:p>
      <w:pPr>
        <w:autoSpaceDN w:val="0"/>
        <w:autoSpaceDE w:val="0"/>
        <w:widowControl/>
        <w:spacing w:line="18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HOMO stays localized on the donor, establishes a distinct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molecules, this design is anticipated to hinder the smooth</w:t>
      </w:r>
    </w:p>
    <w:p>
      <w:pPr>
        <w:autoSpaceDN w:val="0"/>
        <w:autoSpaceDE w:val="0"/>
        <w:widowControl/>
        <w:spacing w:line="202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directional channel for electron migration.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34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nearly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flow of electron density during excitation, which could</w:t>
      </w:r>
    </w:p>
    <w:p>
      <w:pPr>
        <w:autoSpaceDN w:val="0"/>
        <w:autoSpaceDE w:val="0"/>
        <w:widowControl/>
        <w:spacing w:line="180" w:lineRule="exact" w:before="0" w:after="0"/>
        <w:ind w:left="0" w:right="1008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complete localization of orbitals on discrete donor-acceptor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slow down the injection kinetics and lower overall effi-</w:t>
      </w:r>
    </w:p>
    <w:p>
      <w:pPr>
        <w:autoSpaceDN w:val="0"/>
        <w:autoSpaceDE w:val="0"/>
        <w:widowControl/>
        <w:spacing w:line="182" w:lineRule="exact" w:before="0" w:after="0"/>
        <w:ind w:left="0" w:right="1004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fragments affords a trustworthy approximation for the ICT</w:t>
      </w:r>
    </w:p>
    <w:p>
      <w:pPr>
        <w:autoSpaceDN w:val="0"/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ciency of the charge transfer process.</w:t>
      </w:r>
    </w:p>
    <w:p>
      <w:pPr>
        <w:sectPr>
          <w:type w:val="continuous"/>
          <w:pgSz w:w="11906" w:h="16838"/>
          <w:pgMar w:top="240" w:right="240" w:bottom="134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679450</wp:posOffset>
            </wp:positionV>
            <wp:extent cx="6137910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10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1184910</wp:posOffset>
            </wp:positionV>
            <wp:extent cx="299212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212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1416050</wp:posOffset>
            </wp:positionV>
            <wp:extent cx="299212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212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2080260</wp:posOffset>
            </wp:positionV>
            <wp:extent cx="299212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212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3937000</wp:posOffset>
            </wp:positionH>
            <wp:positionV relativeFrom="page">
              <wp:posOffset>1184910</wp:posOffset>
            </wp:positionV>
            <wp:extent cx="299339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339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3937000</wp:posOffset>
            </wp:positionH>
            <wp:positionV relativeFrom="page">
              <wp:posOffset>1416050</wp:posOffset>
            </wp:positionV>
            <wp:extent cx="299339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339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3937000</wp:posOffset>
            </wp:positionH>
            <wp:positionV relativeFrom="page">
              <wp:posOffset>2080260</wp:posOffset>
            </wp:positionV>
            <wp:extent cx="299339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993390" cy="127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70" w:after="0"/>
        <w:ind w:left="0" w:right="0"/>
      </w:pPr>
    </w:p>
    <w:p>
      <w:pPr>
        <w:autoSpaceDN w:val="0"/>
        <w:tabs>
          <w:tab w:pos="10574" w:val="left"/>
        </w:tabs>
        <w:autoSpaceDE w:val="0"/>
        <w:widowControl/>
        <w:spacing w:line="140" w:lineRule="exact" w:before="0" w:after="336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i/>
          <w:color w:val="231F20"/>
          <w:sz w:val="20"/>
        </w:rPr>
        <w:t xml:space="preserve">Abubakari et al. 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20"/>
        </w:rPr>
        <w:t>7</w:t>
      </w:r>
    </w:p>
    <w:p>
      <w:pPr>
        <w:sectPr>
          <w:pgSz w:w="11906" w:h="16838"/>
          <w:pgMar w:top="240" w:right="240" w:bottom="92" w:left="240" w:header="720" w:footer="720" w:gutter="0"/>
          <w:cols/>
          <w:docGrid w:linePitch="360"/>
        </w:sectPr>
      </w:pPr>
    </w:p>
    <w:p>
      <w:pPr>
        <w:autoSpaceDN w:val="0"/>
        <w:tabs>
          <w:tab w:pos="5960" w:val="left"/>
        </w:tabs>
        <w:autoSpaceDE w:val="0"/>
        <w:widowControl/>
        <w:spacing w:line="166" w:lineRule="exact" w:before="0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18"/>
        </w:rPr>
        <w:t>Table 4.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electron, hole, and total reorganization energies </w:t>
      </w:r>
      <w:r>
        <w:tab/>
      </w:r>
      <w:r>
        <w:rPr>
          <w:spacing w:val="-10"/>
          <w:rFonts w:ascii="GillSansMTPro" w:hAnsi="GillSansMTPro" w:eastAsia="GillSansMTPro"/>
          <w:b/>
          <w:color w:val="231F20"/>
          <w:sz w:val="18"/>
        </w:rPr>
        <w:t>Table 5.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global reactivity descriptors in (eV) for all</w:t>
      </w:r>
    </w:p>
    <w:p>
      <w:pPr>
        <w:autoSpaceDN w:val="0"/>
        <w:tabs>
          <w:tab w:pos="5960" w:val="left"/>
        </w:tabs>
        <w:autoSpaceDE w:val="0"/>
        <w:widowControl/>
        <w:spacing w:line="166" w:lineRule="exact" w:before="44" w:after="144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18"/>
        </w:rPr>
        <w:t xml:space="preserve">(in eV) for all proposed molecules (M1–M4). 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18"/>
        </w:rPr>
        <w:t>proposed molecules (M1–M4).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1520" w:type="dxa"/>
        <w:gridCol w:w="1460" w:type="dxa"/>
        <w:gridCol w:w="1260" w:type="dxa"/>
        <w:gridCol w:w="1100" w:type="dxa"/>
        <w:gridCol w:w="1360" w:type="dxa"/>
        <w:gridCol w:w="680" w:type="dxa"/>
        <w:gridCol w:w="580" w:type="dxa"/>
        <w:gridCol w:w="640" w:type="dxa"/>
        <w:gridCol w:w="660" w:type="dxa"/>
        <w:gridCol w:w="1060" w:type="dxa"/>
      </w:tblGrid>
      <w:tr>
        <w:trPr>
          <w:trHeight w:hRule="exact" w:val="300"/>
        </w:trPr>
        <w:tc>
          <w:tcPr>
            <w:tcW w:type="dxa" w:w="1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2" w:after="0"/>
              <w:ind w:left="0" w:right="28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Molecules</w:t>
            </w:r>
          </w:p>
        </w:tc>
        <w:tc>
          <w:tcPr>
            <w:tcW w:type="dxa" w:w="1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λ</w:t>
            </w:r>
            <w:r>
              <w:rPr>
                <w:spacing w:val="-10"/>
                <w:w w:val="97.49999841054282"/>
                <w:rFonts w:ascii="GillSansMTPro" w:hAnsi="GillSansMTPro" w:eastAsia="GillSansMTPro"/>
                <w:color w:val="231F20"/>
                <w:sz w:val="12"/>
              </w:rPr>
              <w:t>electron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 xml:space="preserve"> (eV)</w:t>
            </w:r>
          </w:p>
        </w:tc>
        <w:tc>
          <w:tcPr>
            <w:tcW w:type="dxa" w:w="12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λ</w:t>
            </w:r>
            <w:r>
              <w:rPr>
                <w:spacing w:val="-10"/>
                <w:w w:val="97.49999841054282"/>
                <w:rFonts w:ascii="GillSansMTPro" w:hAnsi="GillSansMTPro" w:eastAsia="GillSansMTPro"/>
                <w:color w:val="231F20"/>
                <w:sz w:val="12"/>
              </w:rPr>
              <w:t>hole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 xml:space="preserve"> (eV)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60" w:after="0"/>
              <w:ind w:left="0" w:right="120" w:firstLine="0"/>
              <w:jc w:val="right"/>
            </w:pP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λ</w:t>
            </w:r>
            <w:r>
              <w:rPr>
                <w:spacing w:val="-10"/>
                <w:w w:val="97.49999841054282"/>
                <w:rFonts w:ascii="GillSansMTPro" w:hAnsi="GillSansMTPro" w:eastAsia="GillSansMTPro"/>
                <w:color w:val="231F20"/>
                <w:sz w:val="12"/>
              </w:rPr>
              <w:t>total</w:t>
            </w: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 xml:space="preserve"> (eV)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2" w:after="0"/>
              <w:ind w:left="12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Molecules IP</w:t>
            </w:r>
          </w:p>
        </w:tc>
        <w:tc>
          <w:tcPr>
            <w:tcW w:type="dxa" w:w="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EA</w:t>
            </w:r>
          </w:p>
        </w:tc>
        <w:tc>
          <w:tcPr>
            <w:tcW w:type="dxa" w:w="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0" w:lineRule="exact" w:before="102" w:after="0"/>
              <w:ind w:left="0" w:right="0" w:firstLine="0"/>
              <w:jc w:val="center"/>
            </w:pP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χ</w:t>
            </w:r>
          </w:p>
        </w:tc>
        <w:tc>
          <w:tcPr>
            <w:tcW w:type="dxa" w:w="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0" w:lineRule="exact" w:before="102" w:after="0"/>
              <w:ind w:left="0" w:right="0" w:firstLine="0"/>
              <w:jc w:val="center"/>
            </w:pP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η</w:t>
            </w:r>
          </w:p>
        </w:tc>
        <w:tc>
          <w:tcPr>
            <w:tcW w:type="dxa" w:w="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2" w:lineRule="exact" w:before="104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µ</w:t>
            </w:r>
          </w:p>
        </w:tc>
        <w:tc>
          <w:tcPr>
            <w:tcW w:type="dxa" w:w="1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2" w:lineRule="exact" w:before="62" w:after="0"/>
              <w:ind w:left="0" w:right="588" w:firstLine="0"/>
              <w:jc w:val="right"/>
            </w:pP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Ω</w:t>
            </w:r>
          </w:p>
        </w:tc>
      </w:tr>
    </w:tbl>
    <w:p>
      <w:pPr>
        <w:autoSpaceDN w:val="0"/>
        <w:autoSpaceDE w:val="0"/>
        <w:widowControl/>
        <w:spacing w:line="5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1280" w:type="dxa"/>
        <w:gridCol w:w="1500" w:type="dxa"/>
        <w:gridCol w:w="1360" w:type="dxa"/>
        <w:gridCol w:w="1100" w:type="dxa"/>
        <w:gridCol w:w="760" w:type="dxa"/>
        <w:gridCol w:w="4540" w:type="dxa"/>
      </w:tblGrid>
      <w:tr>
        <w:trPr>
          <w:trHeight w:hRule="exact" w:val="238"/>
        </w:trPr>
        <w:tc>
          <w:tcPr>
            <w:tcW w:type="dxa" w:w="1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M1</w:t>
            </w:r>
          </w:p>
        </w:tc>
        <w:tc>
          <w:tcPr>
            <w:tcW w:type="dxa" w:w="15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45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0.2209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37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0.1963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2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0.4172</w:t>
            </w:r>
          </w:p>
        </w:tc>
        <w:tc>
          <w:tcPr>
            <w:tcW w:type="dxa" w:w="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62" w:after="0"/>
              <w:ind w:left="0" w:right="3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M1</w:t>
            </w:r>
          </w:p>
        </w:tc>
        <w:tc>
          <w:tcPr>
            <w:tcW w:type="dxa" w:w="4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5.0009 3.5293 4.2651 0.7358 −4.2651 12.3615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1280" w:type="dxa"/>
        <w:gridCol w:w="1500" w:type="dxa"/>
        <w:gridCol w:w="1360" w:type="dxa"/>
        <w:gridCol w:w="1100" w:type="dxa"/>
        <w:gridCol w:w="760" w:type="dxa"/>
        <w:gridCol w:w="3560" w:type="dxa"/>
        <w:gridCol w:w="980" w:type="dxa"/>
      </w:tblGrid>
      <w:tr>
        <w:trPr>
          <w:trHeight w:hRule="exact" w:val="230"/>
        </w:trPr>
        <w:tc>
          <w:tcPr>
            <w:tcW w:type="dxa" w:w="1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M2</w:t>
            </w:r>
          </w:p>
        </w:tc>
        <w:tc>
          <w:tcPr>
            <w:tcW w:type="dxa" w:w="15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45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0.1595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37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0.2239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2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0.3834</w:t>
            </w:r>
          </w:p>
        </w:tc>
        <w:tc>
          <w:tcPr>
            <w:tcW w:type="dxa" w:w="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3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M2</w:t>
            </w:r>
          </w:p>
        </w:tc>
        <w:tc>
          <w:tcPr>
            <w:tcW w:type="dxa" w:w="35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33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4.8948 3.2398 4.0673 0.8275 −4.0673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122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9.9957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1280" w:type="dxa"/>
        <w:gridCol w:w="1500" w:type="dxa"/>
        <w:gridCol w:w="1360" w:type="dxa"/>
        <w:gridCol w:w="1100" w:type="dxa"/>
        <w:gridCol w:w="760" w:type="dxa"/>
        <w:gridCol w:w="4540" w:type="dxa"/>
      </w:tblGrid>
      <w:tr>
        <w:trPr>
          <w:trHeight w:hRule="exact" w:val="230"/>
        </w:trPr>
        <w:tc>
          <w:tcPr>
            <w:tcW w:type="dxa" w:w="1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M3</w:t>
            </w:r>
          </w:p>
        </w:tc>
        <w:tc>
          <w:tcPr>
            <w:tcW w:type="dxa" w:w="15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45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0.2061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37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0.2147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2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0.4208</w:t>
            </w:r>
          </w:p>
        </w:tc>
        <w:tc>
          <w:tcPr>
            <w:tcW w:type="dxa" w:w="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3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M3</w:t>
            </w:r>
          </w:p>
        </w:tc>
        <w:tc>
          <w:tcPr>
            <w:tcW w:type="dxa" w:w="4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4.8646 3.3541 4.1093 0.7553 −4.1093 11.1794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1280" w:type="dxa"/>
        <w:gridCol w:w="1500" w:type="dxa"/>
        <w:gridCol w:w="1360" w:type="dxa"/>
        <w:gridCol w:w="1100" w:type="dxa"/>
        <w:gridCol w:w="760" w:type="dxa"/>
        <w:gridCol w:w="4540" w:type="dxa"/>
      </w:tblGrid>
      <w:tr>
        <w:trPr>
          <w:trHeight w:hRule="exact" w:val="158"/>
        </w:trPr>
        <w:tc>
          <w:tcPr>
            <w:tcW w:type="dxa" w:w="1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M4</w:t>
            </w:r>
          </w:p>
        </w:tc>
        <w:tc>
          <w:tcPr>
            <w:tcW w:type="dxa" w:w="15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458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0.2305</w:t>
            </w:r>
          </w:p>
        </w:tc>
        <w:tc>
          <w:tcPr>
            <w:tcW w:type="dxa" w:w="1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374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0.2275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2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0.4580</w:t>
            </w:r>
          </w:p>
        </w:tc>
        <w:tc>
          <w:tcPr>
            <w:tcW w:type="dxa" w:w="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310" w:firstLine="0"/>
              <w:jc w:val="right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M4</w:t>
            </w:r>
          </w:p>
        </w:tc>
        <w:tc>
          <w:tcPr>
            <w:tcW w:type="dxa" w:w="4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6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GillSansMTPro" w:hAnsi="GillSansMTPro" w:eastAsia="GillSansMTPro"/>
                <w:color w:val="231F20"/>
                <w:sz w:val="18"/>
              </w:rPr>
              <w:t>4.8300 3.4047 4.1174 0.7127 −4.1174 11.8938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110"/>
        <w:ind w:left="0" w:right="0"/>
      </w:pPr>
    </w:p>
    <w:p>
      <w:pPr>
        <w:sectPr>
          <w:type w:val="continuous"/>
          <w:pgSz w:w="11906" w:h="16838"/>
          <w:pgMar w:top="240" w:right="240" w:bottom="92" w:left="240" w:header="720" w:footer="720" w:gutter="0"/>
          <w:cols/>
          <w:docGrid w:linePitch="360"/>
        </w:sectPr>
      </w:pPr>
    </w:p>
    <w:p>
      <w:pPr>
        <w:autoSpaceDN w:val="0"/>
        <w:tabs>
          <w:tab w:pos="5960" w:val="left"/>
        </w:tabs>
        <w:autoSpaceDE w:val="0"/>
        <w:widowControl/>
        <w:spacing w:line="182" w:lineRule="exact" w:before="46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mechanism, even if transition density matrix (TDM) analy-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trade-off between transport efficiency and light-harvest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sis offers a more detailed depiction of transition dynamics.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capability determines a chromophore’s overall perfor-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This approach is in line with the body of research on push-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mance, even if lower reorganization energy is essentially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pull chromophores, confirming that the ground-state elec-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advantageous for transport kinetics. M4 is still a very com-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3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tronic topography effectively dictates the primary pathway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petitive option due to its more optimized energy gap and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820" w:type="dxa"/>
        <w:gridCol w:w="680" w:type="dxa"/>
        <w:gridCol w:w="780" w:type="dxa"/>
        <w:gridCol w:w="460" w:type="dxa"/>
        <w:gridCol w:w="860" w:type="dxa"/>
        <w:gridCol w:w="800" w:type="dxa"/>
        <w:gridCol w:w="320" w:type="dxa"/>
        <w:gridCol w:w="620" w:type="dxa"/>
        <w:gridCol w:w="5200" w:type="dxa"/>
      </w:tblGrid>
      <w:tr>
        <w:trPr>
          <w:trHeight w:hRule="exact" w:val="228"/>
        </w:trPr>
        <w:tc>
          <w:tcPr>
            <w:tcW w:type="dxa" w:w="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80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for</w:t>
            </w:r>
          </w:p>
        </w:tc>
        <w:tc>
          <w:tcPr>
            <w:tcW w:type="dxa" w:w="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charge</w:t>
            </w:r>
          </w:p>
        </w:tc>
        <w:tc>
          <w:tcPr>
            <w:tcW w:type="dxa" w:w="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transfer</w:t>
            </w:r>
          </w:p>
        </w:tc>
        <w:tc>
          <w:tcPr>
            <w:tcW w:type="dxa" w:w="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and</w:t>
            </w:r>
          </w:p>
        </w:tc>
        <w:tc>
          <w:tcPr>
            <w:tcW w:type="dxa" w:w="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injection</w:t>
            </w:r>
          </w:p>
        </w:tc>
        <w:tc>
          <w:tcPr>
            <w:tcW w:type="dxa" w:w="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kinetics</w:t>
            </w:r>
          </w:p>
        </w:tc>
        <w:tc>
          <w:tcPr>
            <w:tcW w:type="dxa" w:w="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8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in</w:t>
            </w:r>
          </w:p>
        </w:tc>
        <w:tc>
          <w:tcPr>
            <w:tcW w:type="dxa" w:w="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28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these</w:t>
            </w:r>
          </w:p>
        </w:tc>
        <w:tc>
          <w:tcPr>
            <w:tcW w:type="dxa" w:w="5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28" w:after="0"/>
              <w:ind w:left="12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higher maximum absorption as reported to our previous</w:t>
            </w:r>
          </w:p>
        </w:tc>
      </w:tr>
    </w:tbl>
    <w:p>
      <w:pPr>
        <w:autoSpaceDN w:val="0"/>
        <w:tabs>
          <w:tab w:pos="5960" w:val="left"/>
        </w:tabs>
        <w:autoSpaceDE w:val="0"/>
        <w:widowControl/>
        <w:spacing w:line="202" w:lineRule="exact" w:before="2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systems.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35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paper,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15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even though M2 has better kinetic potential.</w:t>
      </w:r>
    </w:p>
    <w:p>
      <w:pPr>
        <w:autoSpaceDN w:val="0"/>
        <w:autoSpaceDE w:val="0"/>
        <w:widowControl/>
        <w:spacing w:line="182" w:lineRule="exact" w:before="58" w:after="58"/>
        <w:ind w:left="0" w:right="752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Therefore, rather than being distinguished by absolute</w:t>
      </w:r>
    </w:p>
    <w:p>
      <w:pPr>
        <w:sectPr>
          <w:type w:val="continuous"/>
          <w:pgSz w:w="11906" w:h="16838"/>
          <w:pgMar w:top="240" w:right="240" w:bottom="92" w:left="240" w:header="720" w:footer="720" w:gutter="0"/>
          <w:cols/>
          <w:docGrid w:linePitch="360"/>
        </w:sectPr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3680" w:type="dxa"/>
        <w:gridCol w:w="6860" w:type="dxa"/>
      </w:tblGrid>
      <w:tr>
        <w:trPr>
          <w:trHeight w:hRule="exact" w:val="452"/>
        </w:trPr>
        <w:tc>
          <w:tcPr>
            <w:tcW w:type="dxa" w:w="3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2" w:lineRule="exact" w:before="92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24"/>
              </w:rPr>
              <w:t>Charge transfer</w:t>
            </w:r>
          </w:p>
        </w:tc>
        <w:tc>
          <w:tcPr>
            <w:tcW w:type="dxa" w:w="6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12" w:lineRule="exact" w:before="0" w:after="0"/>
              <w:ind w:left="1728" w:right="366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kinetic superiority over M2, M4 is classifies as a balanced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architecture when advantageous charge mobility main-</w:t>
            </w:r>
          </w:p>
        </w:tc>
      </w:tr>
    </w:tbl>
    <w:p>
      <w:pPr>
        <w:autoSpaceDN w:val="0"/>
        <w:tabs>
          <w:tab w:pos="5960" w:val="left"/>
        </w:tabs>
        <w:autoSpaceDE w:val="0"/>
        <w:widowControl/>
        <w:spacing w:line="182" w:lineRule="exact" w:before="2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 key idea in comprehending charge transfer in organic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tained within the 0.1-0.5 eV range complements its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molecules utilized in DSSCs and organic solar cells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enhanced light-harvesting capabilities.</w:t>
      </w:r>
    </w:p>
    <w:p>
      <w:pPr>
        <w:autoSpaceDN w:val="0"/>
        <w:autoSpaceDE w:val="0"/>
        <w:widowControl/>
        <w:spacing w:line="182" w:lineRule="exact" w:before="58" w:after="3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(OSCs) is reorganization energy. It stands for the energy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5340" w:type="dxa"/>
        <w:gridCol w:w="4780" w:type="dxa"/>
      </w:tblGrid>
      <w:tr>
        <w:trPr>
          <w:trHeight w:hRule="exact" w:val="468"/>
        </w:trPr>
        <w:tc>
          <w:tcPr>
            <w:tcW w:type="dxa" w:w="5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4" w:lineRule="exact" w:before="0" w:after="0"/>
              <w:ind w:left="508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required to react to an electron transfer event or a shift in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the charge distribution within the molecule by rearranging</w:t>
            </w:r>
          </w:p>
        </w:tc>
        <w:tc>
          <w:tcPr>
            <w:tcW w:type="dxa" w:w="4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2" w:lineRule="exact" w:before="120" w:after="0"/>
              <w:ind w:left="120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i/>
                <w:color w:val="231F20"/>
                <w:sz w:val="24"/>
              </w:rPr>
              <w:t>Chemical reactivity and electronic behavior</w:t>
            </w:r>
          </w:p>
        </w:tc>
      </w:tr>
    </w:tbl>
    <w:p>
      <w:pPr>
        <w:autoSpaceDN w:val="0"/>
        <w:tabs>
          <w:tab w:pos="5960" w:val="left"/>
        </w:tabs>
        <w:autoSpaceDE w:val="0"/>
        <w:widowControl/>
        <w:spacing w:line="202" w:lineRule="exact" w:before="2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the solvent, counterions, and neighboring molecules.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36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electronic behavior and chemical reactivity of the con-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Molecules with lower reorganization energies are pre-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sidered molecules as a function of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 is discussed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ferred for DSSCs and OSCs because they enable faster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through its Global reactivity descriptors. The global reac-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charge transfer rates. Reorganization can be used to esti-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tivity descriptors provide complementary insights into the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mate the charge transfer characteristics of organic materi-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chemical reactivity and electronic behavior of the proposed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als, such as the speed at which electrons or holes can flow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molecules. These parameters, derived from FMO energies,</w:t>
      </w:r>
    </w:p>
    <w:p>
      <w:pPr>
        <w:autoSpaceDN w:val="0"/>
        <w:tabs>
          <w:tab w:pos="5960" w:val="left"/>
        </w:tabs>
        <w:autoSpaceDE w:val="0"/>
        <w:widowControl/>
        <w:spacing w:line="202" w:lineRule="exact" w:before="3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within organic molecules.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37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help evaluate properties such as stability, charge transfer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24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The overall reorganization energies are calculated by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propensity, and electrophilic/nucleophilic behavior. A high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adding the electron-reorganization and hole-reorganization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energy bandgap indicates that the chemical system is more</w:t>
      </w:r>
    </w:p>
    <w:p>
      <w:pPr>
        <w:autoSpaceDN w:val="0"/>
        <w:tabs>
          <w:tab w:pos="5960" w:val="left"/>
        </w:tabs>
        <w:autoSpaceDE w:val="0"/>
        <w:widowControl/>
        <w:spacing w:line="202" w:lineRule="exact" w:before="1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energies. Equations 2−4 were used to compute these ener-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stable and less reactive.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39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Using HOMO and LUMO ener-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gies, and Table 4 displays the findings, where the total reor-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gies, we computed the ionization potential (IP), electron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ganization energies for all proposed molecules (M1–M4)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affinity (EA), chemical potential (</w:t>
      </w:r>
      <w:r>
        <w:rPr>
          <w:spacing w:val="-10"/>
          <w:rFonts w:ascii="SymbolMT" w:hAnsi="SymbolMT" w:eastAsia="SymbolMT"/>
          <w:color w:val="231F20"/>
          <w:sz w:val="20"/>
        </w:rPr>
        <w:t>μ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), electronegativity (</w:t>
      </w:r>
      <w:r>
        <w:rPr>
          <w:spacing w:val="-10"/>
          <w:rFonts w:ascii="SymbolMT" w:hAnsi="SymbolMT" w:eastAsia="SymbolMT"/>
          <w:color w:val="231F20"/>
          <w:sz w:val="20"/>
        </w:rPr>
        <w:t>χ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),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are arranged in the order of M2 (0.3834 eV)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M1 (0.4172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chemical hardness (</w:t>
      </w:r>
      <w:r>
        <w:rPr>
          <w:spacing w:val="-10"/>
          <w:rFonts w:ascii="SymbolMT" w:hAnsi="SymbolMT" w:eastAsia="SymbolMT"/>
          <w:color w:val="231F20"/>
          <w:sz w:val="20"/>
        </w:rPr>
        <w:t>η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), and electrophilicity index (</w:t>
      </w:r>
      <w:r>
        <w:rPr>
          <w:spacing w:val="-10"/>
          <w:rFonts w:ascii="SymbolMT" w:hAnsi="SymbolMT" w:eastAsia="SymbolMT"/>
          <w:color w:val="231F20"/>
          <w:sz w:val="20"/>
        </w:rPr>
        <w:t>ω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).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eV)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 (0.4208 eV)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M4 (0.4580 eV). The results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Table 5 and Figure 4 show the results of global chemical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reveal that all developed molecules (M1–M4) exhibit lower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descriptors for proposed molecules M1–M4.</w:t>
      </w:r>
    </w:p>
    <w:p>
      <w:pPr>
        <w:autoSpaceDN w:val="0"/>
        <w:tabs>
          <w:tab w:pos="620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reorganization energy. The observation that all the pro-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Electron affinity depicts the energy shift of a neutral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posed molecules exhibit relatively low reorganization ener-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molecule with the addition of an electron, whereas ioniza-</w:t>
      </w:r>
    </w:p>
    <w:p>
      <w:pPr>
        <w:autoSpaceDN w:val="0"/>
        <w:tabs>
          <w:tab w:pos="5960" w:val="left"/>
        </w:tabs>
        <w:autoSpaceDE w:val="0"/>
        <w:widowControl/>
        <w:spacing w:line="202" w:lineRule="exact" w:before="3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gies is consistent with the findings of Kacimi et al.,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38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who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tion energy illustrates the energy change that results from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reported that dye molecules with total reorganization ener-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removal of an electron from the molecule’s neutral</w:t>
      </w:r>
    </w:p>
    <w:p>
      <w:pPr>
        <w:autoSpaceDN w:val="0"/>
        <w:tabs>
          <w:tab w:pos="5960" w:val="left"/>
        </w:tabs>
        <w:autoSpaceDE w:val="0"/>
        <w:widowControl/>
        <w:spacing w:line="202" w:lineRule="exact" w:before="1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gies in the range of 0.1–0.5 eV tend to achieve higher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state.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40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Understanding the ionization potential and electron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charge mobility. In this study, the calculated total reorgani-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affinity is necessary to solve fundamental issues in organic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zation energies fall within 0.3834–0.580 eV, supporting the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chemistry, such as whether the molecules are more or less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assertion that these molecules possess favorably low reor-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reactive. For many organic substances, as well as the mol-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ganization energies.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ecules under study, experimental measurements of ioniza-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24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The reduced reorganization energies observed in M1,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tion energy and electron affinity are few. The energy barrier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M2, M3, and M4 can be attributed to the incorporation of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for the injection of holes and electrons is directly related to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-spacer units, which promote structural flexibility and effi-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ionization potential and electron affinity. Higher elec-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cient intramolecular charge delocalization. Consequently,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tron affinity values and a smaller ionization potential are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the low reorganization energies suggest that these dyes are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desirable because they facilitate hole and electron injec-</w:t>
      </w:r>
    </w:p>
    <w:p>
      <w:pPr>
        <w:autoSpaceDN w:val="0"/>
        <w:tabs>
          <w:tab w:pos="5960" w:val="left"/>
        </w:tabs>
        <w:autoSpaceDE w:val="0"/>
        <w:widowControl/>
        <w:spacing w:line="202" w:lineRule="exact" w:before="1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capable of achieving higher electron-transfer efficiency.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tion.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41,42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Table 5 and Figure 4 show the computed global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This property is expected to enhance electron mobility and,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reactivity descriptors for the studied molecules. The fol-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ultimately, improve the overall electrical performance of the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lowing is a ranking of the compounds according to their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proposed molecular systems.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ionization potential: M4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M2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M1. The findings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24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When reorganization energies are compared, M2 has the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indicate that M4 has the lowest ionization potential of all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lowest numerical value, suggesting an inherent kinetic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developed molecules, measuring 4.8300 eV. The mole-</w:t>
      </w:r>
    </w:p>
    <w:p>
      <w:pPr>
        <w:autoSpaceDN w:val="0"/>
        <w:tabs>
          <w:tab w:pos="5960" w:val="left"/>
        </w:tabs>
        <w:autoSpaceDE w:val="0"/>
        <w:widowControl/>
        <w:spacing w:line="182" w:lineRule="exact" w:before="58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advantage for charge transport. In material science, a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cules are arranged according to electron affinity as follows:</w:t>
      </w:r>
    </w:p>
    <w:p>
      <w:pPr>
        <w:sectPr>
          <w:type w:val="continuous"/>
          <w:pgSz w:w="11906" w:h="16838"/>
          <w:pgMar w:top="240" w:right="240" w:bottom="9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679450</wp:posOffset>
            </wp:positionV>
            <wp:extent cx="6137909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1479550</wp:posOffset>
            </wp:positionH>
            <wp:positionV relativeFrom="page">
              <wp:posOffset>977900</wp:posOffset>
            </wp:positionV>
            <wp:extent cx="4438650" cy="22733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22733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68" w:after="0"/>
        <w:ind w:left="0" w:right="0"/>
      </w:pPr>
    </w:p>
    <w:p>
      <w:pPr>
        <w:autoSpaceDN w:val="0"/>
        <w:tabs>
          <w:tab w:pos="8224" w:val="left"/>
        </w:tabs>
        <w:autoSpaceDE w:val="0"/>
        <w:widowControl/>
        <w:spacing w:line="140" w:lineRule="exact" w:before="0" w:after="384"/>
        <w:ind w:left="752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20"/>
        </w:rPr>
        <w:t xml:space="preserve">8 </w:t>
      </w:r>
      <w:r>
        <w:tab/>
      </w:r>
      <w:r>
        <w:rPr>
          <w:spacing w:val="-10"/>
          <w:rFonts w:ascii="GillSansMTPro" w:hAnsi="GillSansMTPro" w:eastAsia="GillSansMTPro"/>
          <w:i/>
          <w:color w:val="231F20"/>
          <w:sz w:val="20"/>
        </w:rPr>
        <w:t>Journal of Chemical Research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952" w:type="dxa"/>
      </w:tblPr>
      <w:tblGrid>
        <w:gridCol w:w="7265" w:type="dxa"/>
      </w:tblGrid>
      <w:tr>
        <w:trPr>
          <w:trHeight w:hRule="exact" w:val="3782"/>
        </w:trPr>
        <w:tc>
          <w:tcPr>
            <w:tcW w:type="dxa" w:w="7266"/>
            <w:tcBorders>
              <w:left w:sz="4.0" w:val="single" w:color="221F1F"/>
              <w:top w:sz="4.0" w:val="single" w:color="221F1F"/>
              <w:right w:sz="4.0" w:val="single" w:color="221F1F"/>
              <w:bottom w:sz="4.0" w:val="single" w:color="221F1F"/>
            </w:tcBorders>
            <w:tcMar>
              <w:left w:w="0" w:type="dxa"/>
              <w:right w:w="0" w:type="dxa"/>
            </w:tcMar>
          </w:tcPr>
          <w:p/>
        </w:tc>
      </w:tr>
    </w:tbl>
    <w:p>
      <w:pPr>
        <w:autoSpaceDN w:val="0"/>
        <w:autoSpaceDE w:val="0"/>
        <w:widowControl/>
        <w:spacing w:line="166" w:lineRule="exact" w:before="244" w:after="412"/>
        <w:ind w:left="752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18"/>
        </w:rPr>
        <w:t>Figure 4.</w:t>
      </w:r>
      <w:r>
        <w:rPr>
          <w:spacing w:val="-10"/>
          <w:rFonts w:ascii="GillSansMTPro" w:hAnsi="GillSansMTPro" w:eastAsia="GillSansMTPro"/>
          <w:color w:val="231F20"/>
          <w:sz w:val="18"/>
        </w:rPr>
        <w:t xml:space="preserve"> The predicted reactivity of designed molecules using global reactivity descriptors.</w:t>
      </w:r>
    </w:p>
    <w:p>
      <w:pPr>
        <w:sectPr>
          <w:pgSz w:w="11906" w:h="16838"/>
          <w:pgMar w:top="240" w:right="240" w:bottom="150" w:left="240" w:header="720" w:footer="720" w:gutter="0"/>
          <w:cols/>
          <w:docGrid w:linePitch="360"/>
        </w:sectPr>
      </w:pPr>
    </w:p>
    <w:p>
      <w:pPr>
        <w:autoSpaceDN w:val="0"/>
        <w:tabs>
          <w:tab w:pos="5946" w:val="left"/>
        </w:tabs>
        <w:autoSpaceDE w:val="0"/>
        <w:widowControl/>
        <w:spacing w:line="182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M1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M4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M2, with M1 showing the highest val-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The electronegativity of an atom in a molecule is a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ues at 3.5293 eV. Due to its larger ionization potential dif-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measure of its capacity to attract electron density to itself.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ference (0.1709 eV) compared to the relatively small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Among the numerous chemical characteristics that are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difference in electron affinity (0.1246 eV), M4 demon-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impacted by electronegativity are bond polarity, acidity,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5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strates superior hole- and electron-injection capability rela-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and basicity. Molecules that have a greater electronegative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18" w:after="58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tive to M1.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value are more readily able to receive electrons. Table 5 and</w:t>
      </w:r>
    </w:p>
    <w:p>
      <w:pPr>
        <w:sectPr>
          <w:type w:val="continuous"/>
          <w:pgSz w:w="11906" w:h="16838"/>
          <w:pgMar w:top="240" w:right="240" w:bottom="150" w:left="240" w:header="720" w:footer="720" w:gutter="0"/>
          <w:cols/>
          <w:docGrid w:linePitch="360"/>
        </w:sectPr>
      </w:pPr>
    </w:p>
    <w:p>
      <w:pPr>
        <w:autoSpaceDN w:val="0"/>
        <w:tabs>
          <w:tab w:pos="992" w:val="left"/>
          <w:tab w:pos="5706" w:val="left"/>
        </w:tabs>
        <w:autoSpaceDE w:val="0"/>
        <w:widowControl/>
        <w:spacing w:line="226" w:lineRule="exact" w:before="0" w:after="0"/>
        <w:ind w:left="752" w:right="1008" w:firstLine="0"/>
        <w:jc w:val="left"/>
      </w:pP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 the ground state, the chemical hardness parameter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Figure 4 rank the electronegativity values of the molecules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describes the dye’s resistance to charge transfer and the ten-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as follows: M1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M4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M2. Based on the data pre-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dency of charge to escape from the system. This quality is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sented in Table 5 and Figure 4, M1 and M4 exhibit the high-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essential to understanding the behavior of the chemical sys-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est electronegativity values among all the molecules. This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tem. The molecules are sorted as follows: M4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M1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indicates that these two systems have a stronger tendency</w:t>
      </w:r>
    </w:p>
    <w:p>
      <w:pPr>
        <w:autoSpaceDN w:val="0"/>
        <w:tabs>
          <w:tab w:pos="5706" w:val="left"/>
          <w:tab w:pos="5946" w:val="left"/>
        </w:tabs>
        <w:autoSpaceDE w:val="0"/>
        <w:widowControl/>
        <w:spacing w:line="240" w:lineRule="exact" w:before="0" w:after="0"/>
        <w:ind w:left="752" w:right="1008" w:firstLine="0"/>
        <w:jc w:val="left"/>
      </w:pPr>
      <w:r>
        <w:rPr>
          <w:spacing w:val="-10"/>
          <w:rFonts w:ascii="MathematicalPiLTStd" w:hAnsi="MathematicalPiLTStd" w:eastAsia="MathematicalPiLTStd"/>
          <w:color w:val="231F20"/>
          <w:sz w:val="20"/>
        </w:rPr>
        <w:t>&lt;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M2. The calculated chemical hardness values are shown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to attract and accept electrons compared to the others.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in Table 5 and Figure 4. The results showed that the M4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The electrophilic index is a helpful metric for assessing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molecule had the lowest chemical hardness values. We get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the electrophilic character of a molecule or a reaction site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to the conclusion that M4 is more likely than the other mol-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within a molecule.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21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It provides details on a species’ elec-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ecules to release electrons and lower the barrier to ICT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tron-taking propensity, which is crucial for understanding</w:t>
      </w:r>
    </w:p>
    <w:p>
      <w:pPr>
        <w:autoSpaceDN w:val="0"/>
        <w:tabs>
          <w:tab w:pos="992" w:val="left"/>
          <w:tab w:pos="5706" w:val="left"/>
        </w:tabs>
        <w:autoSpaceDE w:val="0"/>
        <w:widowControl/>
        <w:spacing w:line="240" w:lineRule="exact" w:before="0" w:after="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because of the lower chemical hardness values.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reaction mechanisms, determining reactivity, and develop-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Chemical potential is sometimes known as the electronic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ing new chemical processes. It was discovered that com-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chemical potential or the Fermi level. The energy required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pounds with superior electrophilic groups have lower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to add or remove an electron from the system at a constant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chemical potential and decreased chemical hardness.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 xml:space="preserve">44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particle number and volume is a measure of the system’s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Through the acquisition of electrons from the surrounding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ability to donate or receive electrons. Chemical potential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environment, a molecule with a higher electrophilicity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has a major impact on both the electronic charge transfer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index (</w:t>
      </w:r>
      <w:r>
        <w:rPr>
          <w:spacing w:val="-10"/>
          <w:rFonts w:ascii="SymbolMT" w:hAnsi="SymbolMT" w:eastAsia="SymbolMT"/>
          <w:color w:val="231F20"/>
          <w:sz w:val="20"/>
        </w:rPr>
        <w:t>ω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) was shown to be more efficient and to have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mechanism and the spontaneity of reactions. According to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higher energy stability. Table 5 and Figure 4 display the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Ayers, Anderson, and Bartolotti (2005), molecules with a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electrophilicity index values, which are arranged as fol-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high electronic potential are good electron donors, whereas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lows: M1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M4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M2. The results indicate that M1</w:t>
      </w:r>
    </w:p>
    <w:p>
      <w:pPr>
        <w:autoSpaceDN w:val="0"/>
        <w:tabs>
          <w:tab w:pos="5706" w:val="left"/>
        </w:tabs>
        <w:autoSpaceDE w:val="0"/>
        <w:widowControl/>
        <w:spacing w:line="240" w:lineRule="exact" w:before="0" w:after="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those with a small electronic potential are good electron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and M4 have higher electronegativity indices than the other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acceptors.</w:t>
      </w:r>
      <w:r>
        <w:rPr>
          <w:spacing w:val="-10"/>
          <w:rFonts w:ascii="TimesNewRomanPSMT" w:hAnsi="TimesNewRomanPSMT" w:eastAsia="TimesNewRomanPSMT"/>
          <w:color w:val="231F20"/>
          <w:sz w:val="13"/>
        </w:rPr>
        <w:t>43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Table 5 and Figure 4 display the computed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molecules. Thus, it may be concluded that M1 and M4 pos-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chemical potential of the molecules in the following order: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sess higher photoelectric properties.</w:t>
      </w:r>
    </w:p>
    <w:p>
      <w:pPr>
        <w:autoSpaceDN w:val="0"/>
        <w:tabs>
          <w:tab w:pos="5706" w:val="left"/>
          <w:tab w:pos="5946" w:val="left"/>
        </w:tabs>
        <w:autoSpaceDE w:val="0"/>
        <w:widowControl/>
        <w:spacing w:line="240" w:lineRule="exact" w:before="0" w:after="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M2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M3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M4</w:t>
      </w:r>
      <w:r>
        <w:rPr>
          <w:spacing w:val="-10"/>
          <w:rFonts w:ascii="MathematicalPiLTStd" w:hAnsi="MathematicalPiLTStd" w:eastAsia="MathematicalPiLTStd"/>
          <w:color w:val="231F20"/>
          <w:sz w:val="20"/>
        </w:rPr>
        <w:t xml:space="preserve"> &gt;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 M1. The results show that M2 has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Actually, the global reactivity descriptors were computed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higher chemical potential values, implying that it is effec-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at the B3LYP/6-311G theoretical level using Koopmans’the-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tive electron donor. This makes it easier for M2 to give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orem. This functional is a well-known benchmark for organic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electrons to the semiconductor, which acts as an electron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photovoltaic materials, offering a balanced representation of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acceptor. However, we make conclusion on that due to its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the FMO, despite being sensitive to the 20% Hartree–Fock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significant difference between M2 and M4 on energy gap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exchange present in B3LYP. The relative trends in all descrip-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of 0.1992 eV while slight difference on chemical potential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tors are thought to be reliable for forecasting the compara-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of -0.0501 eV so it makes M4 to be more favorable candi-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tive performance of these solar cell sensitizers because the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date to release electrons to the semiconductor rather than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current work concentrates on the methodical comparison of</w:t>
      </w:r>
    </w:p>
    <w:p>
      <w:pPr>
        <w:autoSpaceDN w:val="0"/>
        <w:tabs>
          <w:tab w:pos="5706" w:val="left"/>
        </w:tabs>
        <w:autoSpaceDE w:val="0"/>
        <w:widowControl/>
        <w:spacing w:line="182" w:lineRule="exact" w:before="18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M2 based on these facts.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>structurally similar series (M1–M4).</w:t>
      </w:r>
    </w:p>
    <w:p>
      <w:pPr>
        <w:sectPr>
          <w:type w:val="continuous"/>
          <w:pgSz w:w="11906" w:h="16838"/>
          <w:pgMar w:top="240" w:right="240" w:bottom="150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792480</wp:posOffset>
            </wp:positionH>
            <wp:positionV relativeFrom="page">
              <wp:posOffset>679450</wp:posOffset>
            </wp:positionV>
            <wp:extent cx="6137910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10" cy="63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2032000</wp:posOffset>
            </wp:positionH>
            <wp:positionV relativeFrom="page">
              <wp:posOffset>5003800</wp:posOffset>
            </wp:positionV>
            <wp:extent cx="1587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1587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2076450</wp:posOffset>
            </wp:positionH>
            <wp:positionV relativeFrom="page">
              <wp:posOffset>5054600</wp:posOffset>
            </wp:positionV>
            <wp:extent cx="12700" cy="698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12700" cy="698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2095500</wp:posOffset>
            </wp:positionH>
            <wp:positionV relativeFrom="page">
              <wp:posOffset>5054600</wp:posOffset>
            </wp:positionV>
            <wp:extent cx="69850" cy="698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69850" cy="698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2070100</wp:posOffset>
            </wp:positionH>
            <wp:positionV relativeFrom="page">
              <wp:posOffset>5035550</wp:posOffset>
            </wp:positionV>
            <wp:extent cx="19050" cy="190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19050" cy="190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68" w:after="0"/>
        <w:ind w:left="0" w:right="0"/>
      </w:pPr>
    </w:p>
    <w:p>
      <w:pPr>
        <w:autoSpaceDN w:val="0"/>
        <w:tabs>
          <w:tab w:pos="10574" w:val="left"/>
        </w:tabs>
        <w:autoSpaceDE w:val="0"/>
        <w:widowControl/>
        <w:spacing w:line="140" w:lineRule="exact" w:before="0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i/>
          <w:color w:val="231F20"/>
          <w:sz w:val="20"/>
        </w:rPr>
        <w:t xml:space="preserve">Abubakari et al. </w:t>
      </w:r>
      <w:r>
        <w:tab/>
      </w:r>
      <w:r>
        <w:rPr>
          <w:spacing w:val="-10"/>
          <w:rFonts w:ascii="GillSansMTPro" w:hAnsi="GillSansMTPro" w:eastAsia="GillSansMTPro"/>
          <w:color w:val="231F20"/>
          <w:sz w:val="20"/>
        </w:rPr>
        <w:t>9</w:t>
      </w:r>
    </w:p>
    <w:p>
      <w:pPr>
        <w:autoSpaceDN w:val="0"/>
        <w:tabs>
          <w:tab w:pos="6320" w:val="left"/>
        </w:tabs>
        <w:autoSpaceDE w:val="0"/>
        <w:widowControl/>
        <w:spacing w:line="170" w:lineRule="exact" w:before="424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4"/>
        </w:rPr>
        <w:t xml:space="preserve">Conclusion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aspects and characterization techniques.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Chem Soc Rev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2010;</w:t>
      </w:r>
    </w:p>
    <w:p>
      <w:pPr>
        <w:autoSpaceDN w:val="0"/>
        <w:autoSpaceDE w:val="0"/>
        <w:widowControl/>
        <w:spacing w:line="124" w:lineRule="exact" w:before="56" w:after="38"/>
        <w:ind w:left="0" w:right="3976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39: 2577–2632.</w:t>
      </w:r>
    </w:p>
    <w:p>
      <w:pPr>
        <w:sectPr>
          <w:pgSz w:w="11906" w:h="16838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tabs>
          <w:tab w:pos="6050" w:val="left"/>
        </w:tabs>
        <w:autoSpaceDE w:val="0"/>
        <w:widowControl/>
        <w:spacing w:line="182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Our computational analysis shows that the</w:t>
      </w:r>
      <w:r>
        <w:rPr>
          <w:spacing w:val="-10"/>
          <w:rFonts w:ascii="SymbolMT" w:hAnsi="SymbolMT" w:eastAsia="SymbolMT"/>
          <w:color w:val="231F20"/>
          <w:sz w:val="20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-spacer’s type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2. Wu W, Liu Y and Zhu D.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-Conjugated molecules with</w:t>
      </w:r>
    </w:p>
    <w:p>
      <w:pPr>
        <w:autoSpaceDN w:val="0"/>
        <w:tabs>
          <w:tab w:pos="6320" w:val="left"/>
        </w:tabs>
        <w:autoSpaceDE w:val="0"/>
        <w:widowControl/>
        <w:spacing w:line="198" w:lineRule="exact" w:before="6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has a major impact on the D-A′-</w:t>
      </w:r>
      <w:r>
        <w:rPr>
          <w:spacing w:val="-10"/>
          <w:rFonts w:ascii="SymbolMT" w:hAnsi="SymbolMT" w:eastAsia="SymbolMT"/>
          <w:color w:val="231F20"/>
          <w:sz w:val="20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-A systems’ electrical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fused rings for organic field-effect transistors: design, syn-</w:t>
      </w:r>
    </w:p>
    <w:p>
      <w:pPr>
        <w:autoSpaceDN w:val="0"/>
        <w:tabs>
          <w:tab w:pos="6320" w:val="left"/>
        </w:tabs>
        <w:autoSpaceDE w:val="0"/>
        <w:widowControl/>
        <w:spacing w:line="182" w:lineRule="exact" w:before="42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characteristics, charge transfer features, and chemical reac-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thesis and applications.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Chem Soc Rev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2010; 39: 1489–1502.</w:t>
      </w:r>
    </w:p>
    <w:p>
      <w:pPr>
        <w:autoSpaceDN w:val="0"/>
        <w:tabs>
          <w:tab w:pos="6050" w:val="left"/>
        </w:tabs>
        <w:autoSpaceDE w:val="0"/>
        <w:widowControl/>
        <w:spacing w:line="188" w:lineRule="exact" w:before="46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tivity. With the lowest energy gap, reorganization energy,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3. Oshi R, Abdalla S and Springborg M. Study of the influence</w:t>
      </w:r>
    </w:p>
    <w:p>
      <w:pPr>
        <w:autoSpaceDN w:val="0"/>
        <w:tabs>
          <w:tab w:pos="6320" w:val="left"/>
        </w:tabs>
        <w:autoSpaceDE w:val="0"/>
        <w:widowControl/>
        <w:spacing w:line="208" w:lineRule="exact" w:before="6" w:after="6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ionization potential, and chemical hardness of 1.4896,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of functionalization on the reorganization energy of naphtha-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5380" w:type="dxa"/>
        <w:gridCol w:w="5160" w:type="dxa"/>
      </w:tblGrid>
      <w:tr>
        <w:trPr>
          <w:trHeight w:hRule="exact" w:val="1492"/>
        </w:trPr>
        <w:tc>
          <w:tcPr>
            <w:tcW w:type="dxa" w:w="5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36" w:lineRule="exact" w:before="0" w:after="0"/>
              <w:ind w:left="508" w:right="144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0.4580, 4.8300, and 0.7127 eV, respectively, among the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molecules (M1–M4) under study, M4 stood out as the most</w:t>
            </w:r>
          </w:p>
          <w:p>
            <w:pPr>
              <w:autoSpaceDN w:val="0"/>
              <w:autoSpaceDE w:val="0"/>
              <w:widowControl/>
              <w:spacing w:line="142" w:lineRule="exact" w:before="58" w:after="0"/>
              <w:ind w:left="508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viable candidate. These characteristics reflect enhanced</w:t>
            </w:r>
          </w:p>
          <w:p>
            <w:pPr>
              <w:autoSpaceDN w:val="0"/>
              <w:autoSpaceDE w:val="0"/>
              <w:widowControl/>
              <w:spacing w:line="240" w:lineRule="exact" w:before="40" w:after="0"/>
              <w:ind w:left="508" w:right="160" w:firstLine="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charge transport capabilities and structural adaptability. In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addition, M4 demonstrates the highest chemical potential,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electronegativity, and electrophilicity index values of</w:t>
            </w:r>
          </w:p>
        </w:tc>
        <w:tc>
          <w:tcPr>
            <w:tcW w:type="dxa" w:w="5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8" w:lineRule="exact" w:before="0" w:after="0"/>
              <w:ind w:left="144" w:right="366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lene using DFT.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Comput Theor Chem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2017; 1099: 209–215.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4. Ersoy G and Henary M. Roadmap for designing donor-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-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acceptor fluorophores in UV-Vis and NIR regions: synthesis,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optical properties and applications.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Biomolecules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2025; 15:</w:t>
            </w:r>
          </w:p>
          <w:p>
            <w:pPr>
              <w:autoSpaceDN w:val="0"/>
              <w:autoSpaceDE w:val="0"/>
              <w:widowControl/>
              <w:spacing w:line="124" w:lineRule="exact" w:before="60" w:after="0"/>
              <w:ind w:left="44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119.</w:t>
            </w:r>
          </w:p>
          <w:p>
            <w:pPr>
              <w:autoSpaceDN w:val="0"/>
              <w:autoSpaceDE w:val="0"/>
              <w:widowControl/>
              <w:spacing w:line="228" w:lineRule="exact" w:before="20" w:after="0"/>
              <w:ind w:left="440" w:right="288" w:hanging="272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5. Hasanein AA, Elmarassi YR and Kassem EN. TD-DFT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investigation of D–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–A organic dyes with thiophene moie-</w:t>
            </w:r>
          </w:p>
        </w:tc>
      </w:tr>
    </w:tbl>
    <w:p>
      <w:pPr>
        <w:autoSpaceDN w:val="0"/>
        <w:tabs>
          <w:tab w:pos="6320" w:val="left"/>
        </w:tabs>
        <w:autoSpaceDE w:val="0"/>
        <w:widowControl/>
        <w:spacing w:line="182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−4.1174, 4.1174, and 11.8938 eV, respectively, indicating a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ties as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-spacers for use as sensitizers in DSSCs.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Mol</w:t>
      </w:r>
    </w:p>
    <w:p>
      <w:pPr>
        <w:autoSpaceDN w:val="0"/>
        <w:tabs>
          <w:tab w:pos="6320" w:val="left"/>
        </w:tabs>
        <w:autoSpaceDE w:val="0"/>
        <w:widowControl/>
        <w:spacing w:line="190" w:lineRule="exact" w:before="14" w:after="5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strong tendency to accept electrons and participate in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Model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2016; 22: 115.</w:t>
      </w:r>
    </w:p>
    <w:p>
      <w:pPr>
        <w:sectPr>
          <w:type w:val="continuous"/>
          <w:pgSz w:w="11906" w:h="16838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tabs>
          <w:tab w:pos="6050" w:val="left"/>
        </w:tabs>
        <w:autoSpaceDE w:val="0"/>
        <w:widowControl/>
        <w:spacing w:line="182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favorable intermolecular interactions. The combined per-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6. Surendra Babu N, Kuot Malang MP and Abubakari I. DFT</w:t>
      </w:r>
    </w:p>
    <w:p>
      <w:pPr>
        <w:autoSpaceDN w:val="0"/>
        <w:tabs>
          <w:tab w:pos="6320" w:val="left"/>
        </w:tabs>
        <w:autoSpaceDE w:val="0"/>
        <w:widowControl/>
        <w:spacing w:line="188" w:lineRule="exact" w:before="46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>formance metrics highlight M4 as a candidate for applica-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and TD-DFT Studies of D-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-A organic dye molecules with</w:t>
      </w:r>
    </w:p>
    <w:p>
      <w:pPr>
        <w:autoSpaceDN w:val="0"/>
        <w:tabs>
          <w:tab w:pos="6320" w:val="left"/>
        </w:tabs>
        <w:autoSpaceDE w:val="0"/>
        <w:widowControl/>
        <w:spacing w:line="208" w:lineRule="exact" w:before="6" w:after="6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20"/>
        </w:rPr>
        <w:t xml:space="preserve">tions in organic electronic and optoelectronic materials.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different spacers for highly efficient reliable dye sensitized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5380" w:type="dxa"/>
        <w:gridCol w:w="5160" w:type="dxa"/>
      </w:tblGrid>
      <w:tr>
        <w:trPr>
          <w:trHeight w:hRule="exact" w:val="860"/>
        </w:trPr>
        <w:tc>
          <w:tcPr>
            <w:tcW w:type="dxa" w:w="5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38" w:lineRule="exact" w:before="0" w:after="0"/>
              <w:ind w:left="508" w:right="160" w:firstLine="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 xml:space="preserve">These insights may serve as a useful foundation for the 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rational design of advanced chromophores and semicon-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20"/>
              </w:rPr>
              <w:t>ducting systems in future studies.</w:t>
            </w:r>
          </w:p>
        </w:tc>
        <w:tc>
          <w:tcPr>
            <w:tcW w:type="dxa" w:w="5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6" w:after="0"/>
              <w:ind w:left="44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solar cells.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Chemistryopen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2024; 13: 1–11.</w:t>
            </w:r>
          </w:p>
          <w:p>
            <w:pPr>
              <w:autoSpaceDN w:val="0"/>
              <w:autoSpaceDE w:val="0"/>
              <w:widowControl/>
              <w:spacing w:line="220" w:lineRule="exact" w:before="0" w:after="0"/>
              <w:ind w:left="440" w:right="366" w:hanging="27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7. Numbury SB, Khalfan MS and Vuai SAH. Theoretical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studies of electronic and optical characteristics in donor-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-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Acceptor (D-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-A) dyes: DFT and TD-DFT methods.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Oxford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3840" w:type="dxa"/>
        <w:gridCol w:w="6700" w:type="dxa"/>
      </w:tblGrid>
      <w:tr>
        <w:trPr>
          <w:trHeight w:hRule="exact" w:val="434"/>
        </w:trPr>
        <w:tc>
          <w:tcPr>
            <w:tcW w:type="dxa" w:w="3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4" w:lineRule="exact" w:before="174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20"/>
              </w:rPr>
              <w:t>Acknowledgment</w:t>
            </w:r>
          </w:p>
        </w:tc>
        <w:tc>
          <w:tcPr>
            <w:tcW w:type="dxa" w:w="6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0" w:lineRule="exact" w:before="30" w:after="0"/>
              <w:ind w:left="0" w:right="2490" w:firstLine="0"/>
              <w:jc w:val="right"/>
            </w:pP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>Open Mater Sci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2024; 4: 1–11.</w:t>
            </w:r>
          </w:p>
          <w:p>
            <w:pPr>
              <w:autoSpaceDN w:val="0"/>
              <w:autoSpaceDE w:val="0"/>
              <w:widowControl/>
              <w:spacing w:line="156" w:lineRule="exact" w:before="56" w:after="0"/>
              <w:ind w:left="0" w:right="366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8. Zaier R, Martel A and Antosiewicz TJ. Effect of benzothi­</w:t>
            </w:r>
          </w:p>
        </w:tc>
      </w:tr>
    </w:tbl>
    <w:p>
      <w:pPr>
        <w:autoSpaceDN w:val="0"/>
        <w:tabs>
          <w:tab w:pos="6320" w:val="left"/>
        </w:tabs>
        <w:autoSpaceDE w:val="0"/>
        <w:widowControl/>
        <w:spacing w:line="184" w:lineRule="exact" w:before="12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The authors acknowledge the support of the Muslim University of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adiazole-based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-spacers on fine-tuning of optoelectronic</w:t>
      </w:r>
    </w:p>
    <w:p>
      <w:pPr>
        <w:autoSpaceDN w:val="0"/>
        <w:tabs>
          <w:tab w:pos="6320" w:val="left"/>
        </w:tabs>
        <w:autoSpaceDE w:val="0"/>
        <w:widowControl/>
        <w:spacing w:line="184" w:lineRule="exact" w:before="16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Morogoro and the University of Dodoma.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properties of oligothiophene-core donor materials for effi-</w:t>
      </w:r>
    </w:p>
    <w:p>
      <w:pPr>
        <w:autoSpaceDN w:val="0"/>
        <w:autoSpaceDE w:val="0"/>
        <w:widowControl/>
        <w:spacing w:line="164" w:lineRule="exact" w:before="36" w:after="30"/>
        <w:ind w:left="0" w:right="752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cient organic solar cells: a DFT study.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Phys Chem A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2023;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2580" w:type="dxa"/>
        <w:gridCol w:w="2800" w:type="dxa"/>
        <w:gridCol w:w="5160" w:type="dxa"/>
      </w:tblGrid>
      <w:tr>
        <w:trPr>
          <w:trHeight w:hRule="exact" w:val="170"/>
        </w:trPr>
        <w:tc>
          <w:tcPr>
            <w:tcW w:type="dxa" w:w="258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72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20"/>
              </w:rPr>
              <w:t>ORCID iD</w:t>
            </w:r>
          </w:p>
        </w:tc>
        <w:tc>
          <w:tcPr>
            <w:tcW w:type="dxa" w:w="280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386" w:after="0"/>
              <w:ind w:left="0" w:right="0" w:firstLine="0"/>
              <w:jc w:val="center"/>
            </w:pPr>
            <w:hyperlink r:id="rId62" w:history="1">
              <w:r>
                <w:rPr>
                  <w:rStyle w:val="Hyperlink"/>
                  <w:rFonts w:ascii="TimesNewRomanPSMT" w:hAnsi="TimesNewRomanPSMT" w:eastAsia="TimesNewRomanPSMT" w:cs="TimesNewRomanPSMT"/>
                  <w:sz w:val="18.0"/>
                  <w:color w:val="231F20"/>
                  <w:spacing w:val="-10"/>
                </w:rPr>
                <w:t>https://orcid.org/0009-0001-7674-</w:t>
              </w:r>
            </w:hyperlink>
          </w:p>
        </w:tc>
        <w:tc>
          <w:tcPr>
            <w:tcW w:type="dxa" w:w="5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30" w:after="0"/>
              <w:ind w:left="44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127: 10555–10569.</w:t>
            </w:r>
          </w:p>
        </w:tc>
      </w:tr>
      <w:tr>
        <w:trPr>
          <w:trHeight w:hRule="exact" w:val="220"/>
        </w:trPr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98" w:lineRule="exact" w:before="22" w:after="0"/>
              <w:ind w:left="17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9.Madrid-ÚsugaD,SuárezOJandPortacioA.Impactof</w:t>
            </w:r>
          </w:p>
        </w:tc>
      </w:tr>
      <w:tr>
        <w:trPr>
          <w:trHeight w:hRule="exact" w:val="220"/>
        </w:trPr>
        <w:tc>
          <w:tcPr>
            <w:tcW w:type="dxa" w:w="2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0" w:after="0"/>
              <w:ind w:left="508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Michael Kennedy Sanama</w:t>
            </w:r>
          </w:p>
        </w:tc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56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molecular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-bridgemodificationsontriphenylamine-based</w:t>
            </w:r>
          </w:p>
        </w:tc>
      </w:tr>
      <w:tr>
        <w:trPr>
          <w:trHeight w:hRule="exact" w:val="270"/>
        </w:trPr>
        <w:tc>
          <w:tcPr>
            <w:tcW w:type="dxa" w:w="2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0" w:after="0"/>
              <w:ind w:left="508" w:right="0" w:firstLine="0"/>
              <w:jc w:val="left"/>
            </w:pPr>
            <w:hyperlink r:id="rId62" w:history="1">
              <w:r>
                <w:rPr>
                  <w:rStyle w:val="Hyperlink"/>
                  <w:rFonts w:ascii="TimesNewRomanPSMT" w:hAnsi="TimesNewRomanPSMT" w:eastAsia="TimesNewRomanPSMT" w:cs="TimesNewRomanPSMT"/>
                  <w:sz w:val="18.0"/>
                  <w:color w:val="231F20"/>
                  <w:spacing w:val="-10"/>
                </w:rPr>
                <w:t>6349</w:t>
              </w:r>
            </w:hyperlink>
          </w:p>
        </w:tc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  <w:tc>
          <w:tcPr>
            <w:tcW w:type="dxa" w:w="5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76" w:after="0"/>
              <w:ind w:left="0" w:right="0" w:firstLine="0"/>
              <w:jc w:val="center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donor materials for organic photovoltaic solar cells.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Condens</w:t>
            </w:r>
          </w:p>
        </w:tc>
      </w:tr>
    </w:tbl>
    <w:p>
      <w:pPr>
        <w:autoSpaceDN w:val="0"/>
        <w:autoSpaceDE w:val="0"/>
        <w:widowControl/>
        <w:spacing w:line="150" w:lineRule="exact" w:before="30" w:after="12"/>
        <w:ind w:left="0" w:right="3436" w:firstLine="0"/>
        <w:jc w:val="right"/>
      </w:pP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Matter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2025; 10: 1–12.</w:t>
      </w:r>
    </w:p>
    <w:p>
      <w:pPr>
        <w:sectPr>
          <w:type w:val="continuous"/>
          <w:pgSz w:w="11906" w:h="16838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tabs>
          <w:tab w:pos="5960" w:val="left"/>
        </w:tabs>
        <w:autoSpaceDE w:val="0"/>
        <w:widowControl/>
        <w:spacing w:line="140" w:lineRule="exact" w:before="0" w:after="0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0"/>
        </w:rPr>
        <w:t xml:space="preserve">Ethical consideration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10. Roy JK, Adhikari A and Lafferty T. Role of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-spacers and</w:t>
      </w:r>
    </w:p>
    <w:p>
      <w:pPr>
        <w:autoSpaceDN w:val="0"/>
        <w:tabs>
          <w:tab w:pos="6320" w:val="left"/>
        </w:tabs>
        <w:autoSpaceDE w:val="0"/>
        <w:widowControl/>
        <w:spacing w:line="220" w:lineRule="exact" w:before="0" w:after="28"/>
        <w:ind w:left="1008" w:right="72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In this article, there is no study employing animal or human subjects.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acceptors in regulating the photophysical properties of BTPA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donor-based dyes: first-principles approach.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Phys Chem A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4040" w:type="dxa"/>
        <w:gridCol w:w="6500" w:type="dxa"/>
      </w:tblGrid>
      <w:tr>
        <w:trPr>
          <w:trHeight w:hRule="exact" w:val="404"/>
        </w:trPr>
        <w:tc>
          <w:tcPr>
            <w:tcW w:type="dxa" w:w="4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4" w:lineRule="exact" w:before="94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20"/>
              </w:rPr>
              <w:t>Consent to participate</w:t>
            </w:r>
          </w:p>
        </w:tc>
        <w:tc>
          <w:tcPr>
            <w:tcW w:type="dxa" w:w="65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2" w:lineRule="exact" w:before="30" w:after="0"/>
              <w:ind w:left="0" w:right="2864" w:firstLine="0"/>
              <w:jc w:val="righ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2025; 129: 11104–11116.</w:t>
            </w:r>
          </w:p>
          <w:p>
            <w:pPr>
              <w:autoSpaceDN w:val="0"/>
              <w:autoSpaceDE w:val="0"/>
              <w:widowControl/>
              <w:spacing w:line="154" w:lineRule="exact" w:before="66" w:after="0"/>
              <w:ind w:left="142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11. Santaloci TJ, Meador WE, Wallace AM, et al. An automated</w:t>
            </w:r>
          </w:p>
        </w:tc>
      </w:tr>
    </w:tbl>
    <w:p>
      <w:pPr>
        <w:autoSpaceDN w:val="0"/>
        <w:tabs>
          <w:tab w:pos="6320" w:val="left"/>
        </w:tabs>
        <w:autoSpaceDE w:val="0"/>
        <w:widowControl/>
        <w:spacing w:line="224" w:lineRule="exact" w:before="0" w:after="0"/>
        <w:ind w:left="1008" w:right="72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Not applicable.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quantum chemistry-driven, experimental characterization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for high PCE donor–p–acceptor NIR molecular dyes.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Digit</w:t>
      </w:r>
    </w:p>
    <w:p>
      <w:pPr>
        <w:autoSpaceDN w:val="0"/>
        <w:tabs>
          <w:tab w:pos="6320" w:val="left"/>
        </w:tabs>
        <w:autoSpaceDE w:val="0"/>
        <w:widowControl/>
        <w:spacing w:line="188" w:lineRule="exact" w:before="18" w:after="32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0"/>
        </w:rPr>
        <w:t xml:space="preserve">Consent for publication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Discov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2023; 2: 1269–1288.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3520" w:type="dxa"/>
        <w:gridCol w:w="7020" w:type="dxa"/>
      </w:tblGrid>
      <w:tr>
        <w:trPr>
          <w:trHeight w:hRule="exact" w:val="396"/>
        </w:trPr>
        <w:tc>
          <w:tcPr>
            <w:tcW w:type="dxa" w:w="3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94" w:after="0"/>
              <w:ind w:left="508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Not applicable.</w:t>
            </w:r>
          </w:p>
        </w:tc>
        <w:tc>
          <w:tcPr>
            <w:tcW w:type="dxa" w:w="7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8" w:lineRule="exact" w:before="0" w:after="0"/>
              <w:ind w:left="2300" w:right="288" w:hanging="36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12. Vuai SAH, Khalfan MS and Babu NS. DFT and TD-DFT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studies for optoelectronic properties of coumarin based</w:t>
            </w:r>
          </w:p>
        </w:tc>
      </w:tr>
    </w:tbl>
    <w:p>
      <w:pPr>
        <w:autoSpaceDN w:val="0"/>
        <w:autoSpaceDE w:val="0"/>
        <w:widowControl/>
        <w:spacing w:line="14" w:lineRule="exact" w:before="0" w:after="58"/>
        <w:ind w:left="0" w:right="0"/>
      </w:pPr>
    </w:p>
    <w:p>
      <w:pPr>
        <w:sectPr>
          <w:type w:val="continuous"/>
          <w:pgSz w:w="11906" w:h="16838"/>
          <w:pgMar w:top="240" w:right="240" w:bottom="118" w:left="240" w:header="720" w:footer="720" w:gutter="0"/>
          <w:cols/>
          <w:docGrid w:linePitch="360"/>
        </w:sectPr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4140" w:type="dxa"/>
        <w:gridCol w:w="6400" w:type="dxa"/>
      </w:tblGrid>
      <w:tr>
        <w:trPr>
          <w:trHeight w:hRule="exact" w:val="392"/>
        </w:trPr>
        <w:tc>
          <w:tcPr>
            <w:tcW w:type="dxa" w:w="4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86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20"/>
              </w:rPr>
              <w:t>Author contributions</w:t>
            </w:r>
          </w:p>
        </w:tc>
        <w:tc>
          <w:tcPr>
            <w:tcW w:type="dxa" w:w="6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92" w:lineRule="exact" w:before="0" w:after="0"/>
              <w:ind w:left="1680" w:right="288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donor-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-acceptor (D-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>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-A) dyes: applications in dye-sensi-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tized solar cells (DSSCS).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Heliyon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2021; 7: e08339.</w:t>
            </w:r>
          </w:p>
        </w:tc>
      </w:tr>
    </w:tbl>
    <w:p>
      <w:pPr>
        <w:autoSpaceDN w:val="0"/>
        <w:tabs>
          <w:tab w:pos="5960" w:val="left"/>
        </w:tabs>
        <w:autoSpaceDE w:val="0"/>
        <w:widowControl/>
        <w:spacing w:line="172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Ismail Abubakari (Conceptualization), Michael Kennedy Sanama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13. Zhu L, Zhang M, Zhong W, et al. Progress and prospects</w:t>
      </w:r>
    </w:p>
    <w:p>
      <w:pPr>
        <w:autoSpaceDN w:val="0"/>
        <w:tabs>
          <w:tab w:pos="6320" w:val="left"/>
        </w:tabs>
        <w:autoSpaceDE w:val="0"/>
        <w:widowControl/>
        <w:spacing w:line="180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(Writing original draft), and Melkizedeck Hiiti Tsere (Formal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of the morphology of non-fullerene acceptor based high-</w:t>
      </w:r>
    </w:p>
    <w:p>
      <w:pPr>
        <w:autoSpaceDN w:val="0"/>
        <w:tabs>
          <w:tab w:pos="6320" w:val="left"/>
        </w:tabs>
        <w:autoSpaceDE w:val="0"/>
        <w:widowControl/>
        <w:spacing w:line="180" w:lineRule="exact" w:before="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analysis).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efficiency organic solar cells.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Energy Environ Sci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2021; 1:</w:t>
      </w:r>
    </w:p>
    <w:p>
      <w:pPr>
        <w:autoSpaceDN w:val="0"/>
        <w:autoSpaceDE w:val="0"/>
        <w:widowControl/>
        <w:spacing w:line="124" w:lineRule="exact" w:before="58" w:after="0"/>
        <w:ind w:left="0" w:right="4250" w:firstLine="0"/>
        <w:jc w:val="righ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4341–4357.</w:t>
      </w:r>
    </w:p>
    <w:p>
      <w:pPr>
        <w:autoSpaceDN w:val="0"/>
        <w:tabs>
          <w:tab w:pos="5960" w:val="left"/>
        </w:tabs>
        <w:autoSpaceDE w:val="0"/>
        <w:widowControl/>
        <w:spacing w:line="186" w:lineRule="exact" w:before="80" w:after="48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0"/>
        </w:rPr>
        <w:t xml:space="preserve">Funding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14. Rehman FU, Waqas M, Imran M, et al. Approach toward low</w:t>
      </w:r>
    </w:p>
    <w:p>
      <w:pPr>
        <w:sectPr>
          <w:type w:val="continuous"/>
          <w:pgSz w:w="11906" w:h="16838"/>
          <w:pgMar w:top="240" w:right="240" w:bottom="118" w:left="240" w:header="720" w:footer="720" w:gutter="0"/>
          <w:cols/>
          <w:docGrid w:linePitch="360"/>
        </w:sectPr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5520" w:type="dxa"/>
        <w:gridCol w:w="5020" w:type="dxa"/>
      </w:tblGrid>
      <w:tr>
        <w:trPr>
          <w:trHeight w:hRule="exact" w:val="634"/>
        </w:trPr>
        <w:tc>
          <w:tcPr>
            <w:tcW w:type="dxa" w:w="5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0" w:lineRule="exact" w:before="24" w:after="0"/>
              <w:ind w:left="508" w:right="288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The authors received no financial support for the research, author-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ship, and/or publication of this article.</w:t>
            </w:r>
          </w:p>
        </w:tc>
        <w:tc>
          <w:tcPr>
            <w:tcW w:type="dxa" w:w="5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2" w:lineRule="exact" w:before="0" w:after="0"/>
              <w:ind w:left="300" w:right="366" w:firstLine="0"/>
              <w:jc w:val="both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energy loss in symmetrical nonfullerene acceptor molecules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inspired by insertion of different</w:t>
            </w:r>
            <w:r>
              <w:rPr>
                <w:spacing w:val="-10"/>
                <w:rFonts w:ascii="SymbolMT" w:hAnsi="SymbolMT" w:eastAsia="SymbolMT"/>
                <w:color w:val="231F20"/>
                <w:sz w:val="18"/>
              </w:rPr>
              <w:t xml:space="preserve"> π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-spacers for developing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efficient organic slar cells.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ACS Omega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2023; 8: 43792–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4580" w:type="dxa"/>
        <w:gridCol w:w="5960" w:type="dxa"/>
      </w:tblGrid>
      <w:tr>
        <w:trPr>
          <w:trHeight w:hRule="exact" w:val="426"/>
        </w:trPr>
        <w:tc>
          <w:tcPr>
            <w:tcW w:type="dxa" w:w="4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132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20"/>
              </w:rPr>
              <w:t>Declaration of conflicting interests</w:t>
            </w:r>
          </w:p>
        </w:tc>
        <w:tc>
          <w:tcPr>
            <w:tcW w:type="dxa" w:w="5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4" w:lineRule="exact" w:before="28" w:after="0"/>
              <w:ind w:left="124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43812.</w:t>
            </w:r>
          </w:p>
          <w:p>
            <w:pPr>
              <w:autoSpaceDN w:val="0"/>
              <w:autoSpaceDE w:val="0"/>
              <w:widowControl/>
              <w:spacing w:line="164" w:lineRule="exact" w:before="92" w:after="0"/>
              <w:ind w:left="880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15. Sanama MK, Abubakari I and Numbury SB. The effect of</w:t>
            </w:r>
          </w:p>
        </w:tc>
      </w:tr>
    </w:tbl>
    <w:p>
      <w:pPr>
        <w:autoSpaceDN w:val="0"/>
        <w:tabs>
          <w:tab w:pos="6320" w:val="left"/>
        </w:tabs>
        <w:autoSpaceDE w:val="0"/>
        <w:widowControl/>
        <w:spacing w:line="182" w:lineRule="exact" w:before="2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The authors declared no potential conflicts of interest with respect</w:t>
      </w:r>
      <w:r>
        <w:tab/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-spacer on D-A’-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-a system organic dyes for dye-sensitized</w:t>
      </w:r>
    </w:p>
    <w:p>
      <w:pPr>
        <w:autoSpaceDN w:val="0"/>
        <w:tabs>
          <w:tab w:pos="6320" w:val="left"/>
        </w:tabs>
        <w:autoSpaceDE w:val="0"/>
        <w:widowControl/>
        <w:spacing w:line="182" w:lineRule="exact" w:before="20" w:after="0"/>
        <w:ind w:left="100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to the research, authorship, and/or publication of this article.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solar cells (DSSCs) technology: a computational approach”.</w:t>
      </w:r>
    </w:p>
    <w:p>
      <w:pPr>
        <w:autoSpaceDN w:val="0"/>
        <w:autoSpaceDE w:val="0"/>
        <w:widowControl/>
        <w:spacing w:line="164" w:lineRule="exact" w:before="56" w:after="0"/>
        <w:ind w:left="0" w:right="2410" w:firstLine="0"/>
        <w:jc w:val="right"/>
      </w:pP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Oxford Open Mater Sci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2024; 4: 1–9.</w:t>
      </w:r>
    </w:p>
    <w:p>
      <w:pPr>
        <w:autoSpaceDN w:val="0"/>
        <w:tabs>
          <w:tab w:pos="5960" w:val="left"/>
        </w:tabs>
        <w:autoSpaceDE w:val="0"/>
        <w:widowControl/>
        <w:spacing w:line="192" w:lineRule="exact" w:before="48" w:after="14"/>
        <w:ind w:left="1008" w:right="0" w:firstLine="0"/>
        <w:jc w:val="left"/>
      </w:pPr>
      <w:r>
        <w:rPr>
          <w:spacing w:val="-10"/>
          <w:rFonts w:ascii="GillSansMTPro" w:hAnsi="GillSansMTPro" w:eastAsia="GillSansMTPro"/>
          <w:b/>
          <w:color w:val="231F20"/>
          <w:sz w:val="20"/>
        </w:rPr>
        <w:t xml:space="preserve">Data availability statement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16. Becke AD. Density-functional thermochemistry. III. The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4240" w:type="dxa"/>
        <w:gridCol w:w="6300" w:type="dxa"/>
      </w:tblGrid>
      <w:tr>
        <w:trPr>
          <w:trHeight w:hRule="exact" w:val="426"/>
        </w:trPr>
        <w:tc>
          <w:tcPr>
            <w:tcW w:type="dxa" w:w="4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64" w:lineRule="exact" w:before="116" w:after="0"/>
              <w:ind w:left="508" w:right="0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Data supported by the article itself.</w:t>
            </w:r>
          </w:p>
        </w:tc>
        <w:tc>
          <w:tcPr>
            <w:tcW w:type="dxa" w:w="63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tabs>
                <w:tab w:pos="1580" w:val="left"/>
              </w:tabs>
              <w:autoSpaceDE w:val="0"/>
              <w:widowControl/>
              <w:spacing w:line="198" w:lineRule="exact" w:before="0" w:after="0"/>
              <w:ind w:left="1220" w:right="288" w:firstLine="0"/>
              <w:jc w:val="left"/>
            </w:pPr>
            <w:r>
              <w:tab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role of exact exchange.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J Chem Phys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1993; 98: 5648–5652.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17. Lee C, Yang W and Parr RG. Development of the Colle-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500" w:type="dxa"/>
      </w:tblPr>
      <w:tblGrid>
        <w:gridCol w:w="3680" w:type="dxa"/>
        <w:gridCol w:w="6860" w:type="dxa"/>
      </w:tblGrid>
      <w:tr>
        <w:trPr>
          <w:trHeight w:hRule="exact" w:val="392"/>
        </w:trPr>
        <w:tc>
          <w:tcPr>
            <w:tcW w:type="dxa" w:w="3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0" w:lineRule="exact" w:before="156" w:after="0"/>
              <w:ind w:left="508" w:right="0" w:firstLine="0"/>
              <w:jc w:val="left"/>
            </w:pPr>
            <w:r>
              <w:rPr>
                <w:spacing w:val="-10"/>
                <w:rFonts w:ascii="GillSansMTPro" w:hAnsi="GillSansMTPro" w:eastAsia="GillSansMTPro"/>
                <w:b/>
                <w:color w:val="231F20"/>
                <w:sz w:val="20"/>
              </w:rPr>
              <w:t>References</w:t>
            </w:r>
          </w:p>
        </w:tc>
        <w:tc>
          <w:tcPr>
            <w:tcW w:type="dxa" w:w="6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06" w:lineRule="exact" w:before="0" w:after="0"/>
              <w:ind w:left="2140" w:right="288" w:firstLine="0"/>
              <w:jc w:val="left"/>
            </w:pP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Salvetti correlation-energy formula into a functional of the </w:t>
            </w:r>
            <w:r>
              <w:br/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>electron density.</w:t>
            </w:r>
            <w:r>
              <w:rPr>
                <w:spacing w:val="-10"/>
                <w:rFonts w:ascii="TimesNewRomanPS" w:hAnsi="TimesNewRomanPS" w:eastAsia="TimesNewRomanPS"/>
                <w:i/>
                <w:color w:val="231F20"/>
                <w:sz w:val="18"/>
              </w:rPr>
              <w:t xml:space="preserve"> Phys Rev B</w:t>
            </w:r>
            <w:r>
              <w:rPr>
                <w:spacing w:val="-10"/>
                <w:rFonts w:ascii="TimesNewRomanPSMT" w:hAnsi="TimesNewRomanPSMT" w:eastAsia="TimesNewRomanPSMT"/>
                <w:color w:val="231F20"/>
                <w:sz w:val="18"/>
              </w:rPr>
              <w:t xml:space="preserve"> 1988; 37: 785–789.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56"/>
        <w:ind w:left="0" w:right="0"/>
      </w:pPr>
    </w:p>
    <w:p>
      <w:pPr>
        <w:sectPr>
          <w:type w:val="continuous"/>
          <w:pgSz w:w="11906" w:h="16838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tabs>
          <w:tab w:pos="5960" w:val="left"/>
        </w:tabs>
        <w:autoSpaceDE w:val="0"/>
        <w:widowControl/>
        <w:spacing w:line="164" w:lineRule="exact" w:before="0" w:after="0"/>
        <w:ind w:left="109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1. Pron A, Gawrys P, Zagorska M, et al. Electroactive materi-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18. Frisch MJ, Trucks GW, Schlegel HB, et al. Gaussian 09,</w:t>
      </w:r>
    </w:p>
    <w:p>
      <w:pPr>
        <w:autoSpaceDN w:val="0"/>
        <w:tabs>
          <w:tab w:pos="6320" w:val="left"/>
        </w:tabs>
        <w:autoSpaceDE w:val="0"/>
        <w:widowControl/>
        <w:spacing w:line="166" w:lineRule="exact" w:before="52" w:after="0"/>
        <w:ind w:left="1368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als for organic electronics: preparation strategies, structural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Revision D.01.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R Soc Chem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2019; 1: 1–20.</w:t>
      </w:r>
    </w:p>
    <w:p>
      <w:pPr>
        <w:sectPr>
          <w:type w:val="continuous"/>
          <w:pgSz w:w="11906" w:h="16838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629920</wp:posOffset>
            </wp:positionH>
            <wp:positionV relativeFrom="page">
              <wp:posOffset>679450</wp:posOffset>
            </wp:positionV>
            <wp:extent cx="6137909" cy="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37909" cy="63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68" w:after="0"/>
        <w:ind w:left="0" w:right="0"/>
      </w:pPr>
    </w:p>
    <w:p>
      <w:pPr>
        <w:autoSpaceDN w:val="0"/>
        <w:tabs>
          <w:tab w:pos="8224" w:val="left"/>
        </w:tabs>
        <w:autoSpaceDE w:val="0"/>
        <w:widowControl/>
        <w:spacing w:line="140" w:lineRule="exact" w:before="0" w:after="0"/>
        <w:ind w:left="752" w:right="0" w:firstLine="0"/>
        <w:jc w:val="left"/>
      </w:pPr>
      <w:r>
        <w:rPr>
          <w:spacing w:val="-10"/>
          <w:rFonts w:ascii="GillSansMTPro" w:hAnsi="GillSansMTPro" w:eastAsia="GillSansMTPro"/>
          <w:color w:val="231F20"/>
          <w:sz w:val="20"/>
        </w:rPr>
        <w:t xml:space="preserve">10 </w:t>
      </w:r>
      <w:r>
        <w:tab/>
      </w:r>
      <w:r>
        <w:rPr>
          <w:spacing w:val="-10"/>
          <w:rFonts w:ascii="GillSansMTPro" w:hAnsi="GillSansMTPro" w:eastAsia="GillSansMTPro"/>
          <w:i/>
          <w:color w:val="231F20"/>
          <w:sz w:val="20"/>
        </w:rPr>
        <w:t>Journal of Chemical Research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382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19. Roy JK, Kar S and Leszczynski J. Electronic structure and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properties of some semiconductors.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Solid State Electron</w:t>
      </w:r>
    </w:p>
    <w:p>
      <w:pPr>
        <w:autoSpaceDN w:val="0"/>
        <w:tabs>
          <w:tab w:pos="6066" w:val="left"/>
        </w:tabs>
        <w:autoSpaceDE w:val="0"/>
        <w:widowControl/>
        <w:spacing w:line="162" w:lineRule="exact" w:before="58" w:after="56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optical properties of designed photo-efficient indoline-based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1992; 35: 1343–1352.</w:t>
      </w:r>
    </w:p>
    <w:p>
      <w:pPr>
        <w:sectPr>
          <w:pgSz w:w="11906" w:h="16838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62" w:lineRule="exact" w:before="0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dye sensitizers with D-A-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-A framework.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Phys Chem C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32. Zahra S and Kurban M. Sustainable design of green-func-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44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2019; 123: 3309–3320.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tionalized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-conjugated BTBF-DPA derivatives for high-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56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20. Bourass M, Benjelloun AT, Benzoukar M, et al. DFT/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mobility hole transport.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Tetrahedron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2025; 188: 134984.</w:t>
      </w:r>
    </w:p>
    <w:p>
      <w:pPr>
        <w:autoSpaceDN w:val="0"/>
        <w:tabs>
          <w:tab w:pos="570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TD-DFT characterization of conjugational electronic struc-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33. Rajan VK and Muraleedharan K. A computational investi-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56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tures and spectral properties of materials based on thieno [3,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gation on the structure, global parameters and antioxidant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56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2-b][1] benzothiophene for organic photovoltaic and solar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capacity of a polyphenol, Gallic acid.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Food Chem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2017; 220: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56" w:after="54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cell applications.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Saudi Chem Soc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2017; 5: 563–574.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93–99.</w:t>
      </w:r>
    </w:p>
    <w:p>
      <w:pPr>
        <w:sectPr>
          <w:type w:val="continuous"/>
          <w:pgSz w:w="11906" w:h="16838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tabs>
          <w:tab w:pos="1112" w:val="left"/>
          <w:tab w:pos="5706" w:val="left"/>
          <w:tab w:pos="6066" w:val="left"/>
        </w:tabs>
        <w:autoSpaceDE w:val="0"/>
        <w:widowControl/>
        <w:spacing w:line="200" w:lineRule="exact" w:before="0" w:after="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21. Islam N and Ghosh DC. On the electrophilic character of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34. Mabkhot YN, Al-Showiman SS, Barakat A, et al. Compu­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molecules through its relation with electronegativity and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tational studies of 2-(4-oxo-3-phenylthiazolidin-2-ylidene)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chemical hardness.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Int J Mol Sci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2012; 13: 2160–2175.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malononitrile.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BMC Chem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2019; 13: 11–11.</w:t>
      </w:r>
    </w:p>
    <w:p>
      <w:pPr>
        <w:autoSpaceDN w:val="0"/>
        <w:tabs>
          <w:tab w:pos="1112" w:val="left"/>
          <w:tab w:pos="5706" w:val="left"/>
          <w:tab w:pos="6066" w:val="left"/>
        </w:tabs>
        <w:autoSpaceDE w:val="0"/>
        <w:widowControl/>
        <w:spacing w:line="220" w:lineRule="exact" w:before="6" w:after="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22. Parr RG and Pearson RG. Absolute hardness : companion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35. Elhorri AM. Theoretical study of new push-pull molecules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parameter to absolute electronegativity.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Am Chem Soc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based on transition metals for NLO applications and deter-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1983; 105: 7512–7516.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mination of ICT mechanisms by DFT calculations.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Theor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23. Rocha M, Santo AD, Arias JM, et al. Ab-initio and DFT </w:t>
      </w:r>
      <w:r>
        <w:tab/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Comput Chem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2020; 19: 2050026.</w:t>
      </w:r>
    </w:p>
    <w:p>
      <w:pPr>
        <w:autoSpaceDN w:val="0"/>
        <w:tabs>
          <w:tab w:pos="5706" w:val="left"/>
          <w:tab w:pos="6066" w:val="left"/>
        </w:tabs>
        <w:autoSpaceDE w:val="0"/>
        <w:widowControl/>
        <w:spacing w:line="220" w:lineRule="exact" w:before="0" w:after="0"/>
        <w:ind w:left="111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calculations on molecular structure, NBO, HOMO–LUMO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36. Hachi M, Slimi A, Benjelloun AT, et al. The influence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study and a new vibrational analysis of 4-(Dimethylamino)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of the structural variations in the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-bridge of D-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-A</w:t>
      </w:r>
    </w:p>
    <w:p>
      <w:pPr>
        <w:autoSpaceDN w:val="0"/>
        <w:tabs>
          <w:tab w:pos="1112" w:val="left"/>
          <w:tab w:pos="6066" w:val="left"/>
        </w:tabs>
        <w:autoSpaceDE w:val="0"/>
        <w:widowControl/>
        <w:spacing w:line="220" w:lineRule="exact" w:before="0" w:after="0"/>
        <w:ind w:left="752" w:right="1008" w:firstLine="0"/>
        <w:jc w:val="left"/>
      </w:pP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benzaldehyde.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Spectrochim Acta Part A Mol Biomol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organic dyes on the efficiency of dye-sensitized solar </w:t>
      </w:r>
      <w:r>
        <w:br/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Spectrosc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2015; 136: 635–643.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cells (DSSCs): a DFT computational study. In: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5th 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24. Wang H, Wang X, Wang H, et al. DFT study of new bipy-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International Conference on Renewable Energies for.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razole derivatives and their potential activity as corrosion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Developing Countries, REDEC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, Marrakech, Morocco,</w:t>
      </w:r>
    </w:p>
    <w:p>
      <w:pPr>
        <w:autoSpaceDN w:val="0"/>
        <w:tabs>
          <w:tab w:pos="6066" w:val="left"/>
        </w:tabs>
        <w:autoSpaceDE w:val="0"/>
        <w:widowControl/>
        <w:spacing w:line="162" w:lineRule="exact" w:before="50" w:after="56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inhibitors.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Ournal Mol Model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2007; 13: 147–153.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29–30 June 2020, pp.1–6.</w:t>
      </w:r>
    </w:p>
    <w:p>
      <w:pPr>
        <w:sectPr>
          <w:type w:val="continuous"/>
          <w:pgSz w:w="11906" w:h="16838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64" w:lineRule="exact" w:before="0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25. Li W, Wang J, Chen J, et al. Theoretical investigation and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37. Babu NS and Riwa IO. DFT and TD-DFT studies of 1,3,5-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design of high-efficiency dithiafulvenyl-based sensitiz-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Tris (dipheny1amino) benzene derivatives based hole trans-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ers for dye-sensitized solar cells: the impacts of elongating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port materials: application for perovskite solar cells.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Opt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-spacers and rigidifying dithiophene.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Phys Chem Chem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Quantum Electron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2022; 54: 1–16.</w:t>
      </w:r>
    </w:p>
    <w:p>
      <w:pPr>
        <w:autoSpaceDN w:val="0"/>
        <w:tabs>
          <w:tab w:pos="570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Phys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2014; 169458–9468.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38. Kacimi R, Raftan M, Abram T, et al. Theoretical design of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26. Xie X, Liu ZH, Bai FQ, et al. Performance regulation of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D-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-A system new dyes candidate for DSSC application.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54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thieno[3,2-b]benzothiophene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-spacer-based D-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-A organic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Heliyon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2021; 7: e07171.</w:t>
      </w:r>
    </w:p>
    <w:p>
      <w:pPr>
        <w:sectPr>
          <w:type w:val="continuous"/>
          <w:pgSz w:w="11906" w:h="16838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64" w:lineRule="exact" w:before="0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dyes for dye-sensitized solar cell applications: insights from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39. Beheshtian J, Peyghan AA and Bagheri Z. Carbon nanotube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computational study.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Front Chem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2019; 6: 676.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functionalization with carboxylic derivatives: a DFT study.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27. Weissenseel S, Drigo NA, Kudriashova LG, et al. Getting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J Mol Model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2013; 19: 391–396.</w:t>
      </w:r>
    </w:p>
    <w:p>
      <w:pPr>
        <w:autoSpaceDN w:val="0"/>
        <w:tabs>
          <w:tab w:pos="570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the right twist: influence of donor-acceptor dihedral angle on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40. Li Y, Liu J, Liu D, et al. D-A-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-A based organic dyes for</w:t>
      </w:r>
    </w:p>
    <w:p>
      <w:pPr>
        <w:autoSpaceDN w:val="0"/>
        <w:tabs>
          <w:tab w:pos="6066" w:val="left"/>
        </w:tabs>
        <w:autoSpaceDE w:val="0"/>
        <w:widowControl/>
        <w:spacing w:line="166" w:lineRule="exact" w:before="52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exciton kinetics and singlet-triplet gap in deep blue thermally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efficient DSSCs: a theoretical study on the role of</w:t>
      </w:r>
      <w:r>
        <w:rPr>
          <w:spacing w:val="-10"/>
          <w:rFonts w:ascii="SymbolMT" w:hAnsi="SymbolMT" w:eastAsia="SymbolMT"/>
          <w:color w:val="231F20"/>
          <w:sz w:val="18"/>
        </w:rPr>
        <w:t xml:space="preserve"> 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-spacer.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56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activated delayed fluorescence emitter.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Phys Chem C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2019;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Comput Mater Sci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2019; 161: 163–176.</w:t>
      </w:r>
    </w:p>
    <w:p>
      <w:pPr>
        <w:autoSpaceDN w:val="0"/>
        <w:tabs>
          <w:tab w:pos="5706" w:val="left"/>
        </w:tabs>
        <w:autoSpaceDE w:val="0"/>
        <w:widowControl/>
        <w:spacing w:line="164" w:lineRule="exact" w:before="16" w:after="56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45: 27778–27784.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41. Louis E and San-fabi E. Are electron affinity and ioniza-</w:t>
      </w:r>
    </w:p>
    <w:p>
      <w:pPr>
        <w:sectPr>
          <w:type w:val="continuous"/>
          <w:pgSz w:w="11906" w:h="16838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tabs>
          <w:tab w:pos="1112" w:val="left"/>
          <w:tab w:pos="6066" w:val="left"/>
        </w:tabs>
        <w:autoSpaceDE w:val="0"/>
        <w:widowControl/>
        <w:spacing w:line="202" w:lineRule="exact" w:before="0" w:after="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28. Yamanoi Y. Theoretical comparison of ethylene-, disi-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tion potential intrinsic parameters to predict the electron or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lane- and ethynylene-bonded aromatic compounds from the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hole acceptor character of amorphous molecular materials ?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viewpoint of conjugation formation.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Phys Chem Chem Phys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J Phys Chem Lett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2017; 8: 2445–2449.</w:t>
      </w:r>
    </w:p>
    <w:p>
      <w:pPr>
        <w:autoSpaceDN w:val="0"/>
        <w:tabs>
          <w:tab w:pos="1112" w:val="left"/>
          <w:tab w:pos="5706" w:val="left"/>
          <w:tab w:pos="6066" w:val="left"/>
        </w:tabs>
        <w:autoSpaceDE w:val="0"/>
        <w:widowControl/>
        <w:spacing w:line="220" w:lineRule="exact" w:before="0" w:after="0"/>
        <w:ind w:left="752" w:right="1008" w:firstLine="0"/>
        <w:jc w:val="left"/>
      </w:pP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2025; 27: 14517–14525.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42. Heidari M, Janjanpour N, Vakili M, et al. Study of the ioni-</w:t>
      </w:r>
      <w:r>
        <w:br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29. Sanama MK, Abubakari I and Babu NS. DFT and TD-DFT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zation potential, electron affinity and HOMO-LUMO gaps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studies of the effect of internal acceptor based on D-A’-</w:t>
      </w:r>
      <w:r>
        <w:rPr>
          <w:spacing w:val="-10"/>
          <w:rFonts w:ascii="SymbolMT" w:hAnsi="SymbolMT" w:eastAsia="SymbolMT"/>
          <w:color w:val="231F20"/>
          <w:sz w:val="18"/>
        </w:rPr>
        <w:t>Π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-A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in the smal fullerene nanostructures.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Chem Rev Lett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2018; 1:</w:t>
      </w:r>
    </w:p>
    <w:p>
      <w:pPr>
        <w:autoSpaceDN w:val="0"/>
        <w:tabs>
          <w:tab w:pos="6066" w:val="left"/>
        </w:tabs>
        <w:autoSpaceDE w:val="0"/>
        <w:widowControl/>
        <w:spacing w:line="164" w:lineRule="exact" w:before="58" w:after="54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structure for dye-sensitized solar cells.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East African J Sci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45–48.</w:t>
      </w:r>
    </w:p>
    <w:p>
      <w:pPr>
        <w:sectPr>
          <w:type w:val="continuous"/>
          <w:pgSz w:w="11906" w:h="16838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tabs>
          <w:tab w:pos="5706" w:val="left"/>
        </w:tabs>
        <w:autoSpaceDE w:val="0"/>
        <w:widowControl/>
        <w:spacing w:line="154" w:lineRule="exact" w:before="0" w:after="0"/>
        <w:ind w:left="1112" w:right="0" w:firstLine="0"/>
        <w:jc w:val="left"/>
      </w:pP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Technol Innov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2024; 6: 1–17.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43. Ayers PW, Anderson JSM and Bartolotti LJ. Perturbative</w:t>
      </w:r>
    </w:p>
    <w:p>
      <w:pPr>
        <w:autoSpaceDN w:val="0"/>
        <w:tabs>
          <w:tab w:pos="1112" w:val="left"/>
          <w:tab w:pos="6066" w:val="left"/>
        </w:tabs>
        <w:autoSpaceDE w:val="0"/>
        <w:widowControl/>
        <w:spacing w:line="222" w:lineRule="exact" w:before="0" w:after="0"/>
        <w:ind w:left="75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30. Abubakari I and Sanama MK. The effect of substituent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perspectives on the chemical reaction prediction problem. </w:t>
      </w:r>
      <w:r>
        <w:br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groups on D-A organic molecule system for organic solar </w:t>
      </w:r>
      <w:r>
        <w:tab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Int J Quantum Chem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2005; 101: 520–534.</w:t>
      </w:r>
    </w:p>
    <w:p>
      <w:pPr>
        <w:autoSpaceDN w:val="0"/>
        <w:tabs>
          <w:tab w:pos="5706" w:val="left"/>
          <w:tab w:pos="6066" w:val="left"/>
        </w:tabs>
        <w:autoSpaceDE w:val="0"/>
        <w:widowControl/>
        <w:spacing w:line="218" w:lineRule="exact" w:before="0" w:after="0"/>
        <w:ind w:left="1112" w:right="1008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>cells (OSCs) technology : A computational approach.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Oxf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44. Ayers PW and Parr RG. Variational principles for </w:t>
      </w:r>
      <w:r>
        <w:br/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>Open Mater Sci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2025; 5itaf004. </w:t>
      </w:r>
      <w:r>
        <w:tab/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describing chemical reactions: the Fukui function and</w:t>
      </w:r>
    </w:p>
    <w:p>
      <w:pPr>
        <w:autoSpaceDN w:val="0"/>
        <w:tabs>
          <w:tab w:pos="6066" w:val="left"/>
        </w:tabs>
        <w:autoSpaceDE w:val="0"/>
        <w:widowControl/>
        <w:spacing w:line="188" w:lineRule="exact" w:before="32" w:after="0"/>
        <w:ind w:left="75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31. Ünlü H. A thermodynamic model for determining pressure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chemical hardness revisited.</w:t>
      </w:r>
      <w:r>
        <w:rPr>
          <w:spacing w:val="-10"/>
          <w:rFonts w:ascii="TimesNewRomanPS" w:hAnsi="TimesNewRomanPS" w:eastAsia="TimesNewRomanPS"/>
          <w:i/>
          <w:color w:val="231F20"/>
          <w:sz w:val="18"/>
        </w:rPr>
        <w:t xml:space="preserve"> J Am Chem Soc</w:t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 2000; 122:</w:t>
      </w:r>
    </w:p>
    <w:p>
      <w:pPr>
        <w:autoSpaceDN w:val="0"/>
        <w:tabs>
          <w:tab w:pos="6066" w:val="left"/>
        </w:tabs>
        <w:autoSpaceDE w:val="0"/>
        <w:widowControl/>
        <w:spacing w:line="162" w:lineRule="exact" w:before="58" w:after="0"/>
        <w:ind w:left="1112" w:right="0" w:firstLine="0"/>
        <w:jc w:val="left"/>
      </w:pPr>
      <w:r>
        <w:rPr>
          <w:spacing w:val="-10"/>
          <w:rFonts w:ascii="TimesNewRomanPSMT" w:hAnsi="TimesNewRomanPSMT" w:eastAsia="TimesNewRomanPSMT"/>
          <w:color w:val="231F20"/>
          <w:sz w:val="18"/>
        </w:rPr>
        <w:t xml:space="preserve">and temperature effects on the bandgap energies and other </w:t>
      </w:r>
      <w:r>
        <w:tab/>
      </w:r>
      <w:r>
        <w:rPr>
          <w:spacing w:val="-10"/>
          <w:rFonts w:ascii="TimesNewRomanPSMT" w:hAnsi="TimesNewRomanPSMT" w:eastAsia="TimesNewRomanPSMT"/>
          <w:color w:val="231F20"/>
          <w:sz w:val="18"/>
        </w:rPr>
        <w:t>2010–2018.</w:t>
      </w:r>
    </w:p>
    <w:sectPr w:rsidR="00FC693F" w:rsidRPr="0006063C" w:rsidSect="00034616">
      <w:type w:val="continuous"/>
      <w:pgSz w:w="11906" w:h="16838"/>
      <w:pgMar w:top="240" w:right="240" w:bottom="240" w:left="240" w:header="720" w:footer="720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hyperlink" Target="http://crossmark.crossref.org/dialog/?doi=10.1177%2F17475198261453444&amp;domain=pdf&amp;date_stamp=2026-06-26" TargetMode="External"/><Relationship Id="rId10" Type="http://schemas.openxmlformats.org/officeDocument/2006/relationships/hyperlink" Target="https://uk.sagepub.com/en-gb/journals-permissions" TargetMode="External"/><Relationship Id="rId11" Type="http://schemas.openxmlformats.org/officeDocument/2006/relationships/hyperlink" Target="https://journals.sagepub.com/home/chl" TargetMode="External"/><Relationship Id="rId12" Type="http://schemas.openxmlformats.org/officeDocument/2006/relationships/hyperlink" Target="mailto:ismail.msangi2@udom.ac.tz" TargetMode="External"/><Relationship Id="rId13" Type="http://schemas.openxmlformats.org/officeDocument/2006/relationships/image" Target="media/image1.png"/><Relationship Id="rId14" Type="http://schemas.openxmlformats.org/officeDocument/2006/relationships/image" Target="media/image2.png"/><Relationship Id="rId15" Type="http://schemas.openxmlformats.org/officeDocument/2006/relationships/image" Target="media/image3.png"/><Relationship Id="rId16" Type="http://schemas.openxmlformats.org/officeDocument/2006/relationships/image" Target="media/image4.png"/><Relationship Id="rId17" Type="http://schemas.openxmlformats.org/officeDocument/2006/relationships/image" Target="media/image5.png"/><Relationship Id="rId18" Type="http://schemas.openxmlformats.org/officeDocument/2006/relationships/image" Target="media/image6.png"/><Relationship Id="rId19" Type="http://schemas.openxmlformats.org/officeDocument/2006/relationships/image" Target="media/image7.png"/><Relationship Id="rId20" Type="http://schemas.openxmlformats.org/officeDocument/2006/relationships/image" Target="media/image8.png"/><Relationship Id="rId21" Type="http://schemas.openxmlformats.org/officeDocument/2006/relationships/image" Target="media/image9.png"/><Relationship Id="rId22" Type="http://schemas.openxmlformats.org/officeDocument/2006/relationships/image" Target="media/image10.png"/><Relationship Id="rId23" Type="http://schemas.openxmlformats.org/officeDocument/2006/relationships/image" Target="media/image11.png"/><Relationship Id="rId24" Type="http://schemas.openxmlformats.org/officeDocument/2006/relationships/image" Target="media/image12.png"/><Relationship Id="rId25" Type="http://schemas.openxmlformats.org/officeDocument/2006/relationships/image" Target="media/image13.png"/><Relationship Id="rId26" Type="http://schemas.openxmlformats.org/officeDocument/2006/relationships/image" Target="media/image14.png"/><Relationship Id="rId27" Type="http://schemas.openxmlformats.org/officeDocument/2006/relationships/image" Target="media/image15.png"/><Relationship Id="rId28" Type="http://schemas.openxmlformats.org/officeDocument/2006/relationships/image" Target="media/image16.png"/><Relationship Id="rId29" Type="http://schemas.openxmlformats.org/officeDocument/2006/relationships/image" Target="media/image17.png"/><Relationship Id="rId30" Type="http://schemas.openxmlformats.org/officeDocument/2006/relationships/image" Target="media/image18.png"/><Relationship Id="rId31" Type="http://schemas.openxmlformats.org/officeDocument/2006/relationships/image" Target="media/image19.png"/><Relationship Id="rId32" Type="http://schemas.openxmlformats.org/officeDocument/2006/relationships/image" Target="media/image20.png"/><Relationship Id="rId33" Type="http://schemas.openxmlformats.org/officeDocument/2006/relationships/image" Target="media/image21.png"/><Relationship Id="rId34" Type="http://schemas.openxmlformats.org/officeDocument/2006/relationships/image" Target="media/image22.png"/><Relationship Id="rId35" Type="http://schemas.openxmlformats.org/officeDocument/2006/relationships/image" Target="media/image23.png"/><Relationship Id="rId36" Type="http://schemas.openxmlformats.org/officeDocument/2006/relationships/image" Target="media/image24.png"/><Relationship Id="rId37" Type="http://schemas.openxmlformats.org/officeDocument/2006/relationships/image" Target="media/image25.png"/><Relationship Id="rId38" Type="http://schemas.openxmlformats.org/officeDocument/2006/relationships/image" Target="media/image26.png"/><Relationship Id="rId39" Type="http://schemas.openxmlformats.org/officeDocument/2006/relationships/image" Target="media/image27.png"/><Relationship Id="rId40" Type="http://schemas.openxmlformats.org/officeDocument/2006/relationships/image" Target="media/image28.png"/><Relationship Id="rId41" Type="http://schemas.openxmlformats.org/officeDocument/2006/relationships/image" Target="media/image29.png"/><Relationship Id="rId42" Type="http://schemas.openxmlformats.org/officeDocument/2006/relationships/image" Target="media/image30.png"/><Relationship Id="rId43" Type="http://schemas.openxmlformats.org/officeDocument/2006/relationships/image" Target="media/image31.png"/><Relationship Id="rId44" Type="http://schemas.openxmlformats.org/officeDocument/2006/relationships/image" Target="media/image32.png"/><Relationship Id="rId45" Type="http://schemas.openxmlformats.org/officeDocument/2006/relationships/image" Target="media/image33.png"/><Relationship Id="rId46" Type="http://schemas.openxmlformats.org/officeDocument/2006/relationships/image" Target="media/image34.png"/><Relationship Id="rId47" Type="http://schemas.openxmlformats.org/officeDocument/2006/relationships/image" Target="media/image35.png"/><Relationship Id="rId48" Type="http://schemas.openxmlformats.org/officeDocument/2006/relationships/image" Target="media/image36.png"/><Relationship Id="rId49" Type="http://schemas.openxmlformats.org/officeDocument/2006/relationships/image" Target="media/image37.png"/><Relationship Id="rId50" Type="http://schemas.openxmlformats.org/officeDocument/2006/relationships/image" Target="media/image38.png"/><Relationship Id="rId51" Type="http://schemas.openxmlformats.org/officeDocument/2006/relationships/image" Target="media/image39.png"/><Relationship Id="rId52" Type="http://schemas.openxmlformats.org/officeDocument/2006/relationships/image" Target="media/image40.png"/><Relationship Id="rId53" Type="http://schemas.openxmlformats.org/officeDocument/2006/relationships/image" Target="media/image41.png"/><Relationship Id="rId54" Type="http://schemas.openxmlformats.org/officeDocument/2006/relationships/image" Target="media/image42.png"/><Relationship Id="rId55" Type="http://schemas.openxmlformats.org/officeDocument/2006/relationships/image" Target="media/image43.png"/><Relationship Id="rId56" Type="http://schemas.openxmlformats.org/officeDocument/2006/relationships/image" Target="media/image44.png"/><Relationship Id="rId57" Type="http://schemas.openxmlformats.org/officeDocument/2006/relationships/image" Target="media/image45.png"/><Relationship Id="rId58" Type="http://schemas.openxmlformats.org/officeDocument/2006/relationships/image" Target="media/image46.png"/><Relationship Id="rId59" Type="http://schemas.openxmlformats.org/officeDocument/2006/relationships/image" Target="media/image47.png"/><Relationship Id="rId60" Type="http://schemas.openxmlformats.org/officeDocument/2006/relationships/image" Target="media/image48.png"/><Relationship Id="rId61" Type="http://schemas.openxmlformats.org/officeDocument/2006/relationships/image" Target="media/image49.png"/><Relationship Id="rId62" Type="http://schemas.openxmlformats.org/officeDocument/2006/relationships/hyperlink" Target="https://orcid.org/0009-0001-7674-6349" TargetMode="External"/><Relationship Id="rId63" Type="http://schemas.openxmlformats.org/officeDocument/2006/relationships/image" Target="media/image50.png"/><Relationship Id="rId64" Type="http://schemas.openxmlformats.org/officeDocument/2006/relationships/image" Target="media/image51.png"/><Relationship Id="rId65" Type="http://schemas.openxmlformats.org/officeDocument/2006/relationships/image" Target="media/image52.png"/><Relationship Id="rId66" Type="http://schemas.openxmlformats.org/officeDocument/2006/relationships/image" Target="media/image5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