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704850</wp:posOffset>
            </wp:positionH>
            <wp:positionV relativeFrom="page">
              <wp:posOffset>8553450</wp:posOffset>
            </wp:positionV>
            <wp:extent cx="368300" cy="3556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68300" cy="3556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1168400</wp:posOffset>
            </wp:positionH>
            <wp:positionV relativeFrom="page">
              <wp:posOffset>8629650</wp:posOffset>
            </wp:positionV>
            <wp:extent cx="158750" cy="2095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58750" cy="2095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1346200</wp:posOffset>
            </wp:positionH>
            <wp:positionV relativeFrom="page">
              <wp:posOffset>8636000</wp:posOffset>
            </wp:positionV>
            <wp:extent cx="31750" cy="2032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2032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1403350</wp:posOffset>
            </wp:positionH>
            <wp:positionV relativeFrom="page">
              <wp:posOffset>8680450</wp:posOffset>
            </wp:positionV>
            <wp:extent cx="95250" cy="1587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95250" cy="1587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1511300</wp:posOffset>
            </wp:positionH>
            <wp:positionV relativeFrom="page">
              <wp:posOffset>8680450</wp:posOffset>
            </wp:positionV>
            <wp:extent cx="114300" cy="1587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1587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1638300</wp:posOffset>
            </wp:positionH>
            <wp:positionV relativeFrom="page">
              <wp:posOffset>8680450</wp:posOffset>
            </wp:positionV>
            <wp:extent cx="133350" cy="1587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33350" cy="1587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1778000</wp:posOffset>
            </wp:positionH>
            <wp:positionV relativeFrom="page">
              <wp:posOffset>8686800</wp:posOffset>
            </wp:positionV>
            <wp:extent cx="133350" cy="1524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33350" cy="1524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1911350</wp:posOffset>
            </wp:positionH>
            <wp:positionV relativeFrom="page">
              <wp:posOffset>8680450</wp:posOffset>
            </wp:positionV>
            <wp:extent cx="127000" cy="1587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587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2063750</wp:posOffset>
            </wp:positionH>
            <wp:positionV relativeFrom="page">
              <wp:posOffset>8680450</wp:posOffset>
            </wp:positionV>
            <wp:extent cx="69850" cy="1587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9850" cy="1587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6477000</wp:posOffset>
            </wp:positionH>
            <wp:positionV relativeFrom="page">
              <wp:posOffset>1441450</wp:posOffset>
            </wp:positionV>
            <wp:extent cx="361950" cy="3619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61950" cy="3619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6451600</wp:posOffset>
            </wp:positionH>
            <wp:positionV relativeFrom="page">
              <wp:posOffset>1409700</wp:posOffset>
            </wp:positionV>
            <wp:extent cx="419100" cy="4254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19100" cy="4254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6616700</wp:posOffset>
            </wp:positionH>
            <wp:positionV relativeFrom="page">
              <wp:posOffset>1473200</wp:posOffset>
            </wp:positionV>
            <wp:extent cx="88900" cy="1270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88900" cy="1270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6616700</wp:posOffset>
            </wp:positionH>
            <wp:positionV relativeFrom="page">
              <wp:posOffset>1473200</wp:posOffset>
            </wp:positionV>
            <wp:extent cx="88900" cy="1270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88900" cy="1270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6565900</wp:posOffset>
            </wp:positionH>
            <wp:positionV relativeFrom="page">
              <wp:posOffset>1454150</wp:posOffset>
            </wp:positionV>
            <wp:extent cx="190500" cy="1968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68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6553200</wp:posOffset>
            </wp:positionH>
            <wp:positionV relativeFrom="page">
              <wp:posOffset>1511300</wp:posOffset>
            </wp:positionV>
            <wp:extent cx="184150" cy="1460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84150" cy="1460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6534150</wp:posOffset>
            </wp:positionH>
            <wp:positionV relativeFrom="page">
              <wp:posOffset>1663700</wp:posOffset>
            </wp:positionV>
            <wp:extent cx="38100" cy="508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38100" cy="508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6572250</wp:posOffset>
            </wp:positionH>
            <wp:positionV relativeFrom="page">
              <wp:posOffset>1663700</wp:posOffset>
            </wp:positionV>
            <wp:extent cx="31750" cy="508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508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6604000</wp:posOffset>
            </wp:positionH>
            <wp:positionV relativeFrom="page">
              <wp:posOffset>1676400</wp:posOffset>
            </wp:positionV>
            <wp:extent cx="31750" cy="38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38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6635750</wp:posOffset>
            </wp:positionH>
            <wp:positionV relativeFrom="page">
              <wp:posOffset>1676400</wp:posOffset>
            </wp:positionV>
            <wp:extent cx="31750" cy="38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38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6667500</wp:posOffset>
            </wp:positionH>
            <wp:positionV relativeFrom="page">
              <wp:posOffset>1663700</wp:posOffset>
            </wp:positionV>
            <wp:extent cx="31750" cy="508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508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6711950</wp:posOffset>
            </wp:positionH>
            <wp:positionV relativeFrom="page">
              <wp:posOffset>1663700</wp:posOffset>
            </wp:positionV>
            <wp:extent cx="19050" cy="508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19050" cy="508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6731000</wp:posOffset>
            </wp:positionH>
            <wp:positionV relativeFrom="page">
              <wp:posOffset>1676400</wp:posOffset>
            </wp:positionV>
            <wp:extent cx="31750" cy="38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38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6762750</wp:posOffset>
            </wp:positionH>
            <wp:positionV relativeFrom="page">
              <wp:posOffset>1676400</wp:posOffset>
            </wp:positionV>
            <wp:extent cx="25400" cy="38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5400" cy="38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6553200</wp:posOffset>
            </wp:positionH>
            <wp:positionV relativeFrom="page">
              <wp:posOffset>1727200</wp:posOffset>
            </wp:positionV>
            <wp:extent cx="31750" cy="38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38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6584950</wp:posOffset>
            </wp:positionH>
            <wp:positionV relativeFrom="page">
              <wp:posOffset>1727200</wp:posOffset>
            </wp:positionV>
            <wp:extent cx="38100" cy="444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38100" cy="444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6616700</wp:posOffset>
            </wp:positionH>
            <wp:positionV relativeFrom="page">
              <wp:posOffset>1720850</wp:posOffset>
            </wp:positionV>
            <wp:extent cx="38100" cy="444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38100" cy="444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6654800</wp:posOffset>
            </wp:positionH>
            <wp:positionV relativeFrom="page">
              <wp:posOffset>1727200</wp:posOffset>
            </wp:positionV>
            <wp:extent cx="31750" cy="38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38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6680200</wp:posOffset>
            </wp:positionH>
            <wp:positionV relativeFrom="page">
              <wp:posOffset>1720850</wp:posOffset>
            </wp:positionV>
            <wp:extent cx="25400" cy="444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25400" cy="444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6699250</wp:posOffset>
            </wp:positionH>
            <wp:positionV relativeFrom="page">
              <wp:posOffset>1727200</wp:posOffset>
            </wp:positionV>
            <wp:extent cx="38100" cy="38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38100" cy="38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6731000</wp:posOffset>
            </wp:positionH>
            <wp:positionV relativeFrom="page">
              <wp:posOffset>1727200</wp:posOffset>
            </wp:positionV>
            <wp:extent cx="31750" cy="38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38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723900</wp:posOffset>
            </wp:positionH>
            <wp:positionV relativeFrom="page">
              <wp:posOffset>1149350</wp:posOffset>
            </wp:positionV>
            <wp:extent cx="6115050" cy="2095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6115050" cy="2095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673100</wp:posOffset>
            </wp:positionH>
            <wp:positionV relativeFrom="page">
              <wp:posOffset>1098550</wp:posOffset>
            </wp:positionV>
            <wp:extent cx="6216650" cy="3111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216650" cy="3111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1847850</wp:posOffset>
            </wp:positionH>
            <wp:positionV relativeFrom="page">
              <wp:posOffset>2343150</wp:posOffset>
            </wp:positionV>
            <wp:extent cx="120650" cy="1143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143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1882139</wp:posOffset>
            </wp:positionH>
            <wp:positionV relativeFrom="page">
              <wp:posOffset>2379980</wp:posOffset>
            </wp:positionV>
            <wp:extent cx="7620" cy="4698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7620" cy="4698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1898650</wp:posOffset>
            </wp:positionH>
            <wp:positionV relativeFrom="page">
              <wp:posOffset>2374900</wp:posOffset>
            </wp:positionV>
            <wp:extent cx="44450" cy="571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44450" cy="571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1879600</wp:posOffset>
            </wp:positionH>
            <wp:positionV relativeFrom="page">
              <wp:posOffset>2362200</wp:posOffset>
            </wp:positionV>
            <wp:extent cx="12700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12700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723900</wp:posOffset>
            </wp:positionH>
            <wp:positionV relativeFrom="page">
              <wp:posOffset>2785110</wp:posOffset>
            </wp:positionV>
            <wp:extent cx="135890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135890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2235200</wp:posOffset>
            </wp:positionH>
            <wp:positionV relativeFrom="page">
              <wp:posOffset>2755900</wp:posOffset>
            </wp:positionV>
            <wp:extent cx="4629150" cy="43180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4629150" cy="431800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12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20" w:type="dxa"/>
        <w:gridCol w:w="3240" w:type="dxa"/>
        <w:gridCol w:w="4660" w:type="dxa"/>
      </w:tblGrid>
      <w:tr>
        <w:trPr>
          <w:trHeight w:hRule="exact" w:val="196"/>
        </w:trPr>
        <w:tc>
          <w:tcPr>
            <w:tcW w:type="dxa" w:w="2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6" w:lineRule="exact" w:before="14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2" w:lineRule="exact" w:before="16" w:after="0"/>
              <w:ind w:left="18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6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7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25"/>
              </w:rPr>
              <w:t>Discover Education</w:t>
            </w:r>
          </w:p>
        </w:tc>
      </w:tr>
    </w:tbl>
    <w:p>
      <w:pPr>
        <w:autoSpaceDN w:val="0"/>
        <w:autoSpaceDE w:val="0"/>
        <w:widowControl/>
        <w:spacing w:line="148" w:lineRule="exact" w:before="18" w:after="0"/>
        <w:ind w:left="894" w:right="0" w:firstLine="0"/>
        <w:jc w:val="left"/>
      </w:pPr>
      <w:hyperlink r:id="rId9" w:history="1">
        <w:r>
          <w:rPr>
            <w:rStyle w:val="Hyperlink"/>
            <w:rFonts w:ascii="MyriadPro" w:hAnsi="MyriadPro" w:eastAsia="MyriadPro" w:cs="MyriadPro"/>
            <w:sz w:val="16.0"/>
            <w:color w:val="000000"/>
            <w:spacing w:val="-10"/>
          </w:rPr>
          <w:t>https://doi.org/10.1007/s44217-026-01650-3</w:t>
        </w:r>
      </w:hyperlink>
    </w:p>
    <w:p>
      <w:pPr>
        <w:autoSpaceDN w:val="0"/>
        <w:tabs>
          <w:tab w:pos="9026" w:val="left"/>
        </w:tabs>
        <w:autoSpaceDE w:val="0"/>
        <w:widowControl/>
        <w:spacing w:line="228" w:lineRule="exact" w:before="772" w:after="0"/>
        <w:ind w:left="976" w:right="0" w:firstLine="0"/>
        <w:jc w:val="left"/>
      </w:pPr>
      <w:r>
        <w:rPr>
          <w:spacing w:val="-10"/>
          <w:rFonts w:ascii="MyriadPro" w:hAnsi="MyriadPro" w:eastAsia="MyriadPro"/>
          <w:b/>
          <w:color w:val="FFFFFF"/>
          <w:sz w:val="26"/>
        </w:rPr>
        <w:t xml:space="preserve">RESEARCH </w:t>
      </w:r>
      <w:r>
        <w:tab/>
      </w:r>
      <w:r>
        <w:rPr>
          <w:spacing w:val="-10"/>
          <w:rFonts w:ascii="MyriadPro" w:hAnsi="MyriadPro" w:eastAsia="MyriadPro"/>
          <w:b/>
          <w:color w:val="FFFFFF"/>
          <w:sz w:val="26"/>
        </w:rPr>
        <w:t>Open Access</w:t>
      </w:r>
    </w:p>
    <w:p>
      <w:pPr>
        <w:autoSpaceDN w:val="0"/>
        <w:autoSpaceDE w:val="0"/>
        <w:widowControl/>
        <w:spacing w:line="578" w:lineRule="exact" w:before="312" w:after="0"/>
        <w:ind w:left="894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47"/>
        </w:rPr>
        <w:t>Refining final-year engineering outcomes</w:t>
      </w:r>
    </w:p>
    <w:p>
      <w:pPr>
        <w:autoSpaceDN w:val="0"/>
        <w:autoSpaceDE w:val="0"/>
        <w:widowControl/>
        <w:spacing w:line="448" w:lineRule="exact" w:before="58" w:after="0"/>
        <w:ind w:left="894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47"/>
        </w:rPr>
        <w:t>at Mbeya</w:t>
      </w:r>
      <w:hyperlink r:id="rId10" w:history="1">
        <w:r>
          <w:rPr>
            <w:rStyle w:val="Hyperlink"/>
            <w:rFonts w:ascii="MyriadPro" w:hAnsi="MyriadPro" w:eastAsia="MyriadPro" w:cs="MyriadPro"/>
            <w:sz w:val="46.784610748291016"/>
            <w:color w:val="000000"/>
            <w:spacing w:val="-10"/>
          </w:rPr>
          <w:t xml:space="preserve"> U</w:t>
        </w:r>
      </w:hyperlink>
      <w:r>
        <w:rPr>
          <w:spacing w:val="-10"/>
          <w:rFonts w:ascii="MyriadPro" w:hAnsi="MyriadPro" w:eastAsia="MyriadPro"/>
          <w:color w:val="000000"/>
          <w:sz w:val="47"/>
        </w:rPr>
        <w:t>niversity, Tanzania</w:t>
      </w:r>
    </w:p>
    <w:p>
      <w:pPr>
        <w:autoSpaceDN w:val="0"/>
        <w:autoSpaceDE w:val="0"/>
        <w:widowControl/>
        <w:spacing w:line="196" w:lineRule="exact" w:before="180" w:after="510"/>
        <w:ind w:left="894" w:right="0" w:firstLine="0"/>
        <w:jc w:val="left"/>
      </w:pPr>
      <w:r>
        <w:rPr>
          <w:spacing w:val="-10"/>
          <w:w w:val="102.10927327473958"/>
          <w:rFonts w:ascii="MyriadPro" w:hAnsi="MyriadPro" w:eastAsia="MyriadPro"/>
          <w:color w:val="000000"/>
          <w:sz w:val="21"/>
        </w:rPr>
        <w:t>Zacharia Katambara</w:t>
      </w:r>
      <w:r>
        <w:rPr>
          <w:spacing w:val="-10"/>
          <w:rFonts w:ascii="MyriadPro" w:hAnsi="MyriadPro" w:eastAsia="MyriadPro"/>
          <w:color w:val="000000"/>
          <w:sz w:val="15"/>
        </w:rPr>
        <w:t>1</w:t>
      </w:r>
      <w:hyperlink r:id="rId10" w:history="1">
        <w:r>
          <w:rPr>
            <w:rStyle w:val="Hyperlink"/>
            <w:rFonts w:ascii="MyriadPro" w:hAnsi="MyriadPro" w:eastAsia="MyriadPro" w:cs="MyriadPro"/>
            <w:sz w:val="15.010063171386719"/>
            <w:color w:val="000000"/>
            <w:spacing w:val="-10"/>
          </w:rPr>
          <w:t>*</w:t>
        </w:r>
      </w:hyperlink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320" w:type="dxa"/>
        <w:gridCol w:w="5060" w:type="dxa"/>
      </w:tblGrid>
      <w:tr>
        <w:trPr>
          <w:trHeight w:hRule="exact" w:val="362"/>
        </w:trPr>
        <w:tc>
          <w:tcPr>
            <w:tcW w:type="dxa" w:w="2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6" w:lineRule="exact" w:before="60" w:after="0"/>
              <w:ind w:left="460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>*Correspondence:</w:t>
            </w:r>
          </w:p>
          <w:p>
            <w:pPr>
              <w:autoSpaceDN w:val="0"/>
              <w:autoSpaceDE w:val="0"/>
              <w:widowControl/>
              <w:spacing w:line="108" w:lineRule="exact" w:before="44" w:after="0"/>
              <w:ind w:left="460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>Zacharia Katambara</w:t>
            </w:r>
          </w:p>
        </w:tc>
        <w:tc>
          <w:tcPr>
            <w:tcW w:type="dxa" w:w="5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132" w:after="0"/>
              <w:ind w:left="694" w:right="0" w:firstLine="0"/>
              <w:jc w:val="left"/>
            </w:pPr>
            <w:r>
              <w:rPr>
                <w:spacing w:val="-10"/>
                <w:w w:val="98.0952399117606"/>
                <w:rFonts w:ascii="MyriadPro" w:hAnsi="MyriadPro" w:eastAsia="MyriadPro"/>
                <w:b/>
                <w:color w:val="000000"/>
                <w:sz w:val="21"/>
              </w:rPr>
              <w:t>Abstract</w:t>
            </w:r>
          </w:p>
        </w:tc>
      </w:tr>
    </w:tbl>
    <w:p>
      <w:pPr>
        <w:autoSpaceDN w:val="0"/>
        <w:tabs>
          <w:tab w:pos="3454" w:val="left"/>
        </w:tabs>
        <w:autoSpaceDE w:val="0"/>
        <w:widowControl/>
        <w:spacing w:line="136" w:lineRule="exact" w:before="0" w:after="0"/>
        <w:ind w:left="900" w:right="0" w:firstLine="0"/>
        <w:jc w:val="left"/>
      </w:pPr>
      <w:hyperlink r:id="rId11" w:history="1">
        <w:r>
          <w:rPr>
            <w:rStyle w:val="Hyperlink"/>
            <w:rFonts w:ascii="MyriadPro" w:hAnsi="MyriadPro" w:eastAsia="MyriadPro" w:cs="MyriadPro"/>
            <w:sz w:val="15.0"/>
            <w:color w:val="000000"/>
            <w:spacing w:val="-10"/>
          </w:rPr>
          <w:t xml:space="preserve">zacharia.katambara@must.ac.tz </w:t>
        </w:r>
      </w:hyperlink>
      <w:r>
        <w:tab/>
      </w:r>
      <w:r>
        <w:rPr>
          <w:spacing w:val="-10"/>
          <w:rFonts w:ascii="MyriadPro" w:hAnsi="MyriadPro" w:eastAsia="MyriadPro"/>
          <w:color w:val="000000"/>
          <w:sz w:val="20"/>
        </w:rPr>
        <w:t>Tanzania’s Vision 2025 agenda emphasise rapid industrialisation, necessitating a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40" w:type="dxa"/>
        <w:gridCol w:w="7640" w:type="dxa"/>
      </w:tblGrid>
      <w:tr>
        <w:trPr>
          <w:trHeight w:hRule="exact" w:val="746"/>
        </w:trPr>
        <w:tc>
          <w:tcPr>
            <w:tcW w:type="dxa" w:w="27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0" w:lineRule="exact" w:before="0" w:after="0"/>
              <w:ind w:left="460" w:right="144" w:firstLine="0"/>
              <w:jc w:val="left"/>
            </w:pPr>
            <w:r>
              <w:rPr>
                <w:spacing w:val="-10"/>
                <w:w w:val="105.0"/>
                <w:rFonts w:ascii="MyriadPro" w:hAnsi="MyriadPro" w:eastAsia="MyriadPro"/>
                <w:color w:val="000000"/>
                <w:sz w:val="10"/>
              </w:rPr>
              <w:t>1</w:t>
            </w: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 xml:space="preserve">Department of Civil Engineering, </w:t>
            </w:r>
            <w:r>
              <w:br/>
            </w: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 xml:space="preserve">College of Engineering and </w:t>
            </w:r>
            <w:r>
              <w:br/>
            </w: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 xml:space="preserve">Technology, Mbeya University of </w:t>
            </w:r>
            <w:r>
              <w:br/>
            </w: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>Science and Technology, Mbeya,</w:t>
            </w:r>
          </w:p>
        </w:tc>
        <w:tc>
          <w:tcPr>
            <w:tcW w:type="dxa" w:w="76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8" w:lineRule="exact" w:before="20" w:after="0"/>
              <w:ind w:left="27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20"/>
              </w:rPr>
              <w:t>technically proficient workforce, particularly in mechanical engineering, to sustain</w:t>
            </w:r>
          </w:p>
          <w:p>
            <w:pPr>
              <w:autoSpaceDN w:val="0"/>
              <w:autoSpaceDE w:val="0"/>
              <w:widowControl/>
              <w:spacing w:line="188" w:lineRule="exact" w:before="46" w:after="0"/>
              <w:ind w:left="27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20"/>
              </w:rPr>
              <w:t>growth in manufacturing, mining, and infrastructure. This study evaluates the</w:t>
            </w:r>
          </w:p>
          <w:p>
            <w:pPr>
              <w:autoSpaceDN w:val="0"/>
              <w:autoSpaceDE w:val="0"/>
              <w:widowControl/>
              <w:spacing w:line="228" w:lineRule="exact" w:before="18" w:after="0"/>
              <w:ind w:left="27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20"/>
              </w:rPr>
              <w:t>academic performance of 117 final-year mechanical engineering students at Mbeya</w:t>
            </w:r>
          </w:p>
        </w:tc>
      </w:tr>
    </w:tbl>
    <w:p>
      <w:pPr>
        <w:autoSpaceDN w:val="0"/>
        <w:tabs>
          <w:tab w:pos="3454" w:val="left"/>
        </w:tabs>
        <w:autoSpaceDE w:val="0"/>
        <w:widowControl/>
        <w:spacing w:line="232" w:lineRule="exact" w:before="0" w:after="0"/>
        <w:ind w:left="900" w:right="1008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 xml:space="preserve">Tanzania </w:t>
      </w:r>
      <w:r>
        <w:tab/>
      </w:r>
      <w:r>
        <w:rPr>
          <w:spacing w:val="-10"/>
          <w:rFonts w:ascii="MyriadPro" w:hAnsi="MyriadPro" w:eastAsia="MyriadPro"/>
          <w:color w:val="000000"/>
          <w:sz w:val="20"/>
        </w:rPr>
        <w:t xml:space="preserve">University of Science and Technology (MUST), employing Exploratory Analysis (EA) </w:t>
      </w:r>
      <w:r>
        <w:br/>
      </w:r>
      <w:r>
        <w:tab/>
      </w:r>
      <w:r>
        <w:rPr>
          <w:spacing w:val="-10"/>
          <w:rFonts w:ascii="MyriadPro" w:hAnsi="MyriadPro" w:eastAsia="MyriadPro"/>
          <w:color w:val="000000"/>
          <w:sz w:val="20"/>
        </w:rPr>
        <w:t xml:space="preserve">and Principal Component Analysis (PCA) to uncover performance patterns and assess </w:t>
      </w:r>
      <w:r>
        <w:br/>
      </w:r>
      <w:r>
        <w:tab/>
      </w:r>
      <w:r>
        <w:rPr>
          <w:spacing w:val="-10"/>
          <w:rFonts w:ascii="MyriadPro" w:hAnsi="MyriadPro" w:eastAsia="MyriadPro"/>
          <w:color w:val="000000"/>
          <w:sz w:val="20"/>
        </w:rPr>
        <w:t>curriculum alignment with industrial competencies. Descriptive statistics revealed</w:t>
      </w:r>
    </w:p>
    <w:p>
      <w:pPr>
        <w:autoSpaceDN w:val="0"/>
        <w:autoSpaceDE w:val="0"/>
        <w:widowControl/>
        <w:spacing w:line="228" w:lineRule="exact" w:before="20" w:after="0"/>
        <w:ind w:left="0" w:right="1150" w:firstLine="0"/>
        <w:jc w:val="right"/>
      </w:pPr>
      <w:r>
        <w:rPr>
          <w:spacing w:val="-10"/>
          <w:rFonts w:ascii="MyriadPro" w:hAnsi="MyriadPro" w:eastAsia="MyriadPro"/>
          <w:color w:val="000000"/>
          <w:sz w:val="20"/>
        </w:rPr>
        <w:t>notable variability in course performance, while correlation analysis identified strong</w:t>
      </w:r>
    </w:p>
    <w:p>
      <w:pPr>
        <w:autoSpaceDN w:val="0"/>
        <w:autoSpaceDE w:val="0"/>
        <w:widowControl/>
        <w:spacing w:line="186" w:lineRule="exact" w:before="48" w:after="0"/>
        <w:ind w:left="0" w:right="1500" w:firstLine="0"/>
        <w:jc w:val="right"/>
      </w:pPr>
      <w:r>
        <w:rPr>
          <w:spacing w:val="-10"/>
          <w:rFonts w:ascii="MyriadPro" w:hAnsi="MyriadPro" w:eastAsia="MyriadPro"/>
          <w:color w:val="000000"/>
          <w:sz w:val="20"/>
        </w:rPr>
        <w:t>positive associations between GPA and key technical modules, notably ME 8401</w:t>
      </w:r>
    </w:p>
    <w:p>
      <w:pPr>
        <w:autoSpaceDN w:val="0"/>
        <w:autoSpaceDE w:val="0"/>
        <w:widowControl/>
        <w:spacing w:line="166" w:lineRule="exact" w:before="54" w:after="0"/>
        <w:ind w:left="0" w:right="1320" w:firstLine="0"/>
        <w:jc w:val="right"/>
      </w:pPr>
      <w:r>
        <w:rPr>
          <w:spacing w:val="-10"/>
          <w:rFonts w:ascii="MyriadPro" w:hAnsi="MyriadPro" w:eastAsia="MyriadPro"/>
          <w:color w:val="000000"/>
          <w:sz w:val="20"/>
        </w:rPr>
        <w:t>(Fluid Power and Control) and ME 8411 (Automation and Robotics). PCA extracted</w:t>
      </w:r>
    </w:p>
    <w:p>
      <w:pPr>
        <w:autoSpaceDN w:val="0"/>
        <w:autoSpaceDE w:val="0"/>
        <w:widowControl/>
        <w:spacing w:line="228" w:lineRule="exact" w:before="38" w:after="0"/>
        <w:ind w:left="0" w:right="1246" w:firstLine="0"/>
        <w:jc w:val="right"/>
      </w:pPr>
      <w:r>
        <w:rPr>
          <w:spacing w:val="-10"/>
          <w:rFonts w:ascii="MyriadPro" w:hAnsi="MyriadPro" w:eastAsia="MyriadPro"/>
          <w:color w:val="000000"/>
          <w:sz w:val="20"/>
        </w:rPr>
        <w:t>five principal components, explaining 58.2% of the total variance, with Component</w:t>
      </w:r>
    </w:p>
    <w:p>
      <w:pPr>
        <w:autoSpaceDN w:val="0"/>
        <w:autoSpaceDE w:val="0"/>
        <w:widowControl/>
        <w:spacing w:line="186" w:lineRule="exact" w:before="46" w:after="0"/>
        <w:ind w:left="0" w:right="1470" w:firstLine="0"/>
        <w:jc w:val="right"/>
      </w:pPr>
      <w:r>
        <w:rPr>
          <w:spacing w:val="-10"/>
          <w:rFonts w:ascii="MyriadPro" w:hAnsi="MyriadPro" w:eastAsia="MyriadPro"/>
          <w:color w:val="000000"/>
          <w:sz w:val="20"/>
        </w:rPr>
        <w:t>1 alone accounting for 30.4%, suggesting a dominant academic structure driven</w:t>
      </w:r>
    </w:p>
    <w:p>
      <w:pPr>
        <w:autoSpaceDN w:val="0"/>
        <w:autoSpaceDE w:val="0"/>
        <w:widowControl/>
        <w:spacing w:line="228" w:lineRule="exact" w:before="20" w:after="0"/>
        <w:ind w:left="0" w:right="1358" w:firstLine="0"/>
        <w:jc w:val="right"/>
      </w:pPr>
      <w:r>
        <w:rPr>
          <w:spacing w:val="-10"/>
          <w:rFonts w:ascii="MyriadPro" w:hAnsi="MyriadPro" w:eastAsia="MyriadPro"/>
          <w:color w:val="000000"/>
          <w:sz w:val="20"/>
        </w:rPr>
        <w:t>by technical proficiency. High factor loadings for ME 8411, ME 8401, and ME 8415</w:t>
      </w:r>
    </w:p>
    <w:p>
      <w:pPr>
        <w:autoSpaceDN w:val="0"/>
        <w:autoSpaceDE w:val="0"/>
        <w:widowControl/>
        <w:spacing w:line="238" w:lineRule="exact" w:before="0" w:after="0"/>
        <w:ind w:left="3454" w:right="1296" w:firstLine="0"/>
        <w:jc w:val="left"/>
      </w:pPr>
      <w:r>
        <w:rPr>
          <w:spacing w:val="-10"/>
          <w:rFonts w:ascii="MyriadPro" w:hAnsi="MyriadPro" w:eastAsia="MyriadPro"/>
          <w:color w:val="000000"/>
          <w:sz w:val="20"/>
        </w:rPr>
        <w:t xml:space="preserve">underscored their central role in student success. At the same time, low-loading 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 xml:space="preserve">courses such as ME 8408 (Industrial Practical Training III) and ME 8413 highlighted 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 xml:space="preserve">potential curricular misalignments. Based on these insights, the study concludes 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 xml:space="preserve">that academic success in mechanical engineering at MUST is tightly linked to 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>performance in core technical subjects. To align educational outcomes with</w:t>
      </w:r>
    </w:p>
    <w:p>
      <w:pPr>
        <w:autoSpaceDN w:val="0"/>
        <w:autoSpaceDE w:val="0"/>
        <w:widowControl/>
        <w:spacing w:line="228" w:lineRule="exact" w:before="20" w:after="0"/>
        <w:ind w:left="0" w:right="1128" w:firstLine="0"/>
        <w:jc w:val="right"/>
      </w:pPr>
      <w:r>
        <w:rPr>
          <w:spacing w:val="-10"/>
          <w:rFonts w:ascii="MyriadPro" w:hAnsi="MyriadPro" w:eastAsia="MyriadPro"/>
          <w:color w:val="000000"/>
          <w:sz w:val="20"/>
        </w:rPr>
        <w:t>Tanzania’s industrial goals, the study recommends targeted curriculum refinement of</w:t>
      </w:r>
    </w:p>
    <w:p>
      <w:pPr>
        <w:autoSpaceDN w:val="0"/>
        <w:autoSpaceDE w:val="0"/>
        <w:widowControl/>
        <w:spacing w:line="238" w:lineRule="exact" w:before="0" w:after="0"/>
        <w:ind w:left="3454" w:right="1008" w:firstLine="0"/>
        <w:jc w:val="left"/>
      </w:pPr>
      <w:r>
        <w:rPr>
          <w:spacing w:val="-10"/>
          <w:rFonts w:ascii="MyriadPro" w:hAnsi="MyriadPro" w:eastAsia="MyriadPro"/>
          <w:color w:val="000000"/>
          <w:sz w:val="20"/>
        </w:rPr>
        <w:t xml:space="preserve">underperforming modules, enhancing high-impact courses with structured academic 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 xml:space="preserve">support, routine application of multivariate analytics for curriculum monitoring, 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>faculty training in educational data analysis, and the establishment of formal industry-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 xml:space="preserve">academic partnerships. These data-driven reforms aim to foster a technically adept 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>graduate pool that meets the evolving demands of Tanzania’s industrial landscape.</w:t>
      </w:r>
    </w:p>
    <w:p>
      <w:pPr>
        <w:autoSpaceDN w:val="0"/>
        <w:autoSpaceDE w:val="0"/>
        <w:widowControl/>
        <w:spacing w:line="238" w:lineRule="exact" w:before="64" w:after="0"/>
        <w:ind w:left="3454" w:right="1296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20"/>
        </w:rPr>
        <w:t>Keywords</w:t>
      </w:r>
      <w:r>
        <w:rPr>
          <w:spacing w:val="-10"/>
          <w:rFonts w:ascii="MyriadPro" w:hAnsi="MyriadPro" w:eastAsia="MyriadPro"/>
          <w:color w:val="000000"/>
          <w:sz w:val="20"/>
        </w:rPr>
        <w:t xml:space="preserve"> Mechanical engineering education, Principal component analysis, Skills 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>gap, Industrialisation, Workforce readiness</w:t>
      </w:r>
    </w:p>
    <w:p>
      <w:pPr>
        <w:autoSpaceDN w:val="0"/>
        <w:autoSpaceDE w:val="0"/>
        <w:widowControl/>
        <w:spacing w:line="150" w:lineRule="exact" w:before="560" w:after="0"/>
        <w:ind w:left="0" w:right="6716" w:firstLine="0"/>
        <w:jc w:val="right"/>
      </w:pPr>
      <w:r>
        <w:rPr>
          <w:spacing w:val="-10"/>
          <w:w w:val="98.0952399117606"/>
          <w:rFonts w:ascii="MyriadPro" w:hAnsi="MyriadPro" w:eastAsia="MyriadPro"/>
          <w:b/>
          <w:color w:val="000000"/>
          <w:sz w:val="21"/>
        </w:rPr>
        <w:t>1 Introduction</w:t>
      </w:r>
    </w:p>
    <w:p>
      <w:pPr>
        <w:autoSpaceDN w:val="0"/>
        <w:autoSpaceDE w:val="0"/>
        <w:widowControl/>
        <w:spacing w:line="290" w:lineRule="exact" w:before="94" w:after="0"/>
        <w:ind w:left="0" w:right="894" w:firstLine="0"/>
        <w:jc w:val="righ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Tanzanian economy is transforming, prioritising industrial production as a cata­</w:t>
      </w:r>
    </w:p>
    <w:p>
      <w:pPr>
        <w:autoSpaceDN w:val="0"/>
        <w:autoSpaceDE w:val="0"/>
        <w:widowControl/>
        <w:spacing w:line="188" w:lineRule="exact" w:before="40" w:after="0"/>
        <w:ind w:left="0" w:right="894" w:firstLine="0"/>
        <w:jc w:val="righ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lyst for growth and development. Anchored by the Tanzania Development Vision 2025,</w:t>
      </w:r>
    </w:p>
    <w:p>
      <w:pPr>
        <w:autoSpaceDN w:val="0"/>
        <w:autoSpaceDE w:val="0"/>
        <w:widowControl/>
        <w:spacing w:line="310" w:lineRule="exact" w:before="0" w:after="0"/>
        <w:ind w:left="3312" w:right="894" w:firstLine="0"/>
        <w:jc w:val="righ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the country is transitioning from an agrarian to an industrialised economy, focusing on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manufacturing, mining and infrastructure development [</w:t>
      </w:r>
      <w:hyperlink r:id="rId12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29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This transition highlights</w:t>
      </w:r>
    </w:p>
    <w:p>
      <w:pPr>
        <w:autoSpaceDN w:val="0"/>
        <w:autoSpaceDE w:val="0"/>
        <w:widowControl/>
        <w:spacing w:line="126" w:lineRule="exact" w:before="564" w:after="0"/>
        <w:ind w:left="0" w:right="902" w:firstLine="0"/>
        <w:jc w:val="right"/>
      </w:pPr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>©TheAuthor(s)2026.</w:t>
      </w:r>
      <w:r>
        <w:rPr>
          <w:spacing w:val="-10"/>
          <w:w w:val="97.46794019426618"/>
          <w:rFonts w:ascii="MyriadPro" w:hAnsi="MyriadPro" w:eastAsia="MyriadPro"/>
          <w:b/>
          <w:color w:val="000000"/>
          <w:sz w:val="14"/>
        </w:rPr>
        <w:t>OpenAccess</w:t>
      </w:r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 xml:space="preserve"> ThisarticleislicensedunderaCreativeCommonsAttribution-NonCommercial-NoDerivatives4.0International</w:t>
      </w:r>
    </w:p>
    <w:p>
      <w:pPr>
        <w:autoSpaceDN w:val="0"/>
        <w:autoSpaceDE w:val="0"/>
        <w:widowControl/>
        <w:spacing w:line="132" w:lineRule="exact" w:before="32" w:after="0"/>
        <w:ind w:left="0" w:right="902" w:firstLine="0"/>
        <w:jc w:val="right"/>
      </w:pPr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>License, which permits any non-commercial use, sharing, distribution and reproduction in any medium or format, as long as you give appropriate</w:t>
      </w:r>
    </w:p>
    <w:p>
      <w:pPr>
        <w:autoSpaceDN w:val="0"/>
        <w:autoSpaceDE w:val="0"/>
        <w:widowControl/>
        <w:spacing w:line="158" w:lineRule="exact" w:before="6" w:after="0"/>
        <w:ind w:left="0" w:right="902" w:firstLine="0"/>
        <w:jc w:val="right"/>
      </w:pPr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>credit to the original author(s) and the source, provide a link to the Creative Commons licence, and indicate if you modified the licensed material.</w:t>
      </w:r>
    </w:p>
    <w:p>
      <w:pPr>
        <w:autoSpaceDN w:val="0"/>
        <w:autoSpaceDE w:val="0"/>
        <w:widowControl/>
        <w:spacing w:line="132" w:lineRule="exact" w:before="24" w:after="0"/>
        <w:ind w:left="0" w:right="902" w:firstLine="0"/>
        <w:jc w:val="right"/>
      </w:pPr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>You do not have permission under this licence to share adapted material derived from this article or parts of it. The images or other third party</w:t>
      </w:r>
    </w:p>
    <w:p>
      <w:pPr>
        <w:autoSpaceDN w:val="0"/>
        <w:autoSpaceDE w:val="0"/>
        <w:widowControl/>
        <w:spacing w:line="160" w:lineRule="exact" w:before="0" w:after="0"/>
        <w:ind w:left="3324" w:right="902" w:firstLine="0"/>
        <w:jc w:val="both"/>
      </w:pPr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 xml:space="preserve">material in this article are included in the article’s Creative Commons licence, unless indicated otherwise in a credit line to the material. If material </w:t>
      </w:r>
      <w:r>
        <w:br/>
      </w:r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>is not included in the article’s Creative Commons licence and your intended use is not permitted by statutory r</w:t>
      </w:r>
      <w:hyperlink r:id="rId13" w:history="1">
        <w:r>
          <w:rPr>
            <w:rStyle w:val="Hyperlink"/>
            <w:rFonts w:ascii="MyriadPro" w:hAnsi="MyriadPro" w:eastAsia="MyriadPro" w:cs="MyriadPro"/>
            <w:sz w:val="13.645511627197266"/>
            <w:color w:val="000000"/>
            <w:w w:val="97.46794019426618"/>
            <w:spacing w:val="-10"/>
          </w:rPr>
          <w:t xml:space="preserve">egulation or exceeds the permitted </w:t>
        </w:r>
      </w:hyperlink>
      <w:r>
        <w:br/>
      </w:r>
      <w:hyperlink r:id="rId13" w:history="1">
        <w:r>
          <w:rPr>
            <w:rStyle w:val="Hyperlink"/>
            <w:rFonts w:ascii="MyriadPro" w:hAnsi="MyriadPro" w:eastAsia="MyriadPro" w:cs="MyriadPro"/>
            <w:sz w:val="13.645511627197266"/>
            <w:color w:val="000000"/>
            <w:w w:val="97.46794019426618"/>
            <w:spacing w:val="-10"/>
          </w:rPr>
          <w:t>use, you will nee</w:t>
        </w:r>
      </w:hyperlink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>d to obtain permission directly from the copyright holder. To view a copy of this licence, visit</w:t>
      </w:r>
      <w:r>
        <w:rPr>
          <w:spacing w:val="-10"/>
          <w:w w:val="97.46794019426618"/>
          <w:rFonts w:ascii="MyriadPro" w:hAnsi="MyriadPro" w:eastAsia="MyriadPro"/>
          <w:color w:val="0000FF"/>
          <w:sz w:val="14"/>
        </w:rPr>
        <w:t xml:space="preserve"> </w:t>
      </w:r>
      <w:hyperlink r:id="rId13" w:history="1">
        <w:r>
          <w:rPr>
            <w:rStyle w:val="Hyperlink"/>
            <w:rFonts w:ascii="MyriadPro" w:hAnsi="MyriadPro" w:eastAsia="MyriadPro" w:cs="MyriadPro"/>
            <w:sz w:val="13.645511627197266"/>
            <w:color w:val="0000FF"/>
            <w:w w:val="97.46794019426618"/>
            <w:spacing w:val="-10"/>
          </w:rPr>
          <w:t xml:space="preserve">http://creativecommons.org/licens </w:t>
        </w:r>
      </w:hyperlink>
      <w:r>
        <w:br/>
      </w:r>
      <w:hyperlink r:id="rId13" w:history="1">
        <w:r>
          <w:rPr>
            <w:rStyle w:val="Hyperlink"/>
            <w:rFonts w:ascii="MyriadPro" w:hAnsi="MyriadPro" w:eastAsia="MyriadPro" w:cs="MyriadPro"/>
            <w:sz w:val="13.645511627197266"/>
            <w:color w:val="0000FF"/>
            <w:w w:val="97.46794019426618"/>
            <w:spacing w:val="-10"/>
          </w:rPr>
          <w:t>es/by-nc-nd/4.0/</w:t>
        </w:r>
      </w:hyperlink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>.</w:t>
      </w:r>
    </w:p>
    <w:p>
      <w:pPr>
        <w:sectPr>
          <w:pgSz w:w="11906" w:h="15874"/>
          <w:pgMar w:top="240" w:right="240" w:bottom="112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820" w:type="dxa"/>
        <w:gridCol w:w="402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2 of 18</w:t>
            </w:r>
          </w:p>
        </w:tc>
      </w:tr>
    </w:tbl>
    <w:p>
      <w:pPr>
        <w:autoSpaceDN w:val="0"/>
        <w:autoSpaceDE w:val="0"/>
        <w:widowControl/>
        <w:spacing w:line="282" w:lineRule="exact" w:before="682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crucial need for a highly skilled workforce, particularly in mechanical engine</w:t>
      </w:r>
      <w:hyperlink r:id="rId52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e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ing, to design, maintain, and innovate machinery essential for industrial processes [</w:t>
      </w:r>
      <w:hyperlink r:id="rId52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Global examples from China, Malaysia and Germany offer valuable lessons in aligning</w:t>
      </w:r>
    </w:p>
    <w:p>
      <w:pPr>
        <w:autoSpaceDN w:val="0"/>
        <w:autoSpaceDE w:val="0"/>
        <w:widowControl/>
        <w:spacing w:line="272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engineering education with industrialisation goals. China’s emergence as a worldwide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industrial leader is </w:t>
      </w:r>
      <w:hyperlink r:id="rId53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at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tributed to its emphasis on engineering education and techno­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logical innovation [</w:t>
      </w:r>
      <w:hyperlink r:id="rId53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Similarly, Malaysia’s collaborative approach bet</w:t>
      </w:r>
      <w:hyperlink r:id="rId54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we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en academia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industry ensures that skills development meets market demands [</w:t>
      </w:r>
      <w:hyperlink r:id="rId54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]. Germany’s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dual education system integrates vocational training with theoretical learning and has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</w:t>
      </w:r>
      <w:hyperlink r:id="rId55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ro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ven effective in developing a workforce capable of sustaining industrial innovation</w:t>
      </w:r>
    </w:p>
    <w:p>
      <w:pPr>
        <w:autoSpaceDN w:val="0"/>
        <w:autoSpaceDE w:val="0"/>
        <w:widowControl/>
        <w:spacing w:line="274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[</w:t>
      </w:r>
      <w:hyperlink r:id="rId55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20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Addressing the mechanical engineering skills gap is crucial for Tanzania’s indus­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trial ambitions, especially in key sectors such as manufacturing, energy, mining, and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transportation. As the nation strives to become a semi-industrialised, middle-income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economy by 2025, its Vision 2025 goal of closing this gap is essential for enhancing local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technical capacity, increasing productivity, and reducing reliance on foreign expertise.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Mechanical engineering, established at Mbeya University of Science and Technology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(MUST) in 1985, remains a cornerstone of the country’s industrial development strategy.</w:t>
      </w:r>
    </w:p>
    <w:p>
      <w:pPr>
        <w:autoSpaceDN w:val="0"/>
        <w:autoSpaceDE w:val="0"/>
        <w:widowControl/>
        <w:spacing w:line="284" w:lineRule="exact" w:before="56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 multivariate analysis of the performance of 2023/2024 final-year mechanical engineer­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ing students at the University offers critical insights into their readiness to meet industry</w:t>
      </w:r>
    </w:p>
    <w:p>
      <w:pPr>
        <w:autoSpaceDN w:val="0"/>
        <w:autoSpaceDE w:val="0"/>
        <w:widowControl/>
        <w:spacing w:line="276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dem</w:t>
      </w:r>
      <w:hyperlink r:id="rId56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an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ds, focusing on technical competencies, problem-solving abilities and adaptabil­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ity [</w:t>
      </w:r>
      <w:hyperlink r:id="rId56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Aligning engineering education with industrialisation goals r</w:t>
      </w:r>
      <w:hyperlink r:id="rId57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eq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uires evidence-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based strategies, as recent studies at MUST demonstrate. Katambara [</w:t>
      </w:r>
      <w:hyperlink r:id="rId57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 employed the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Principal Component Analysis (PCA) approach to evaluate Electrical and Electronics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Engineering students, uncovering disparities across theoretical, pr</w:t>
      </w:r>
      <w:hyperlink r:id="rId58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oje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ct-based and spe­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cialised training dimensions. Similarly, Katambara and William [</w:t>
      </w:r>
      <w:hyperlink r:id="rId58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 applied PCA to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Civil Engineering students, identifying three principal performance domains: core aca­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demic knowledge, specialised applied skills and advanced independent competencies.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These findings underscore the potential of multivariate analysis in uncovering latent</w:t>
      </w:r>
    </w:p>
    <w:p>
      <w:pPr>
        <w:autoSpaceDN w:val="0"/>
        <w:autoSpaceDE w:val="0"/>
        <w:widowControl/>
        <w:spacing w:line="186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performance structures and curriculum misalignments. Mechanical engineering educa­</w:t>
      </w:r>
    </w:p>
    <w:p>
      <w:pPr>
        <w:autoSpaceDN w:val="0"/>
        <w:autoSpaceDE w:val="0"/>
        <w:widowControl/>
        <w:spacing w:line="284" w:lineRule="exact" w:before="56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tion, therefore, stands to benefit significantly from such analytical frameworks, enabling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curriculum refinement that bridges the skills gap, fosters industry-ready graduates, and</w:t>
      </w:r>
    </w:p>
    <w:p>
      <w:pPr>
        <w:autoSpaceDN w:val="0"/>
        <w:autoSpaceDE w:val="0"/>
        <w:widowControl/>
        <w:spacing w:line="184" w:lineRule="exact" w:before="38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propels Tanzania’s industrial transformation.</w:t>
      </w:r>
    </w:p>
    <w:p>
      <w:pPr>
        <w:autoSpaceDN w:val="0"/>
        <w:autoSpaceDE w:val="0"/>
        <w:widowControl/>
        <w:spacing w:line="282" w:lineRule="exact" w:before="4" w:after="0"/>
        <w:ind w:left="2112" w:right="2112" w:firstLine="16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Multivariate analysis techniques, particularly PCA and EA, have become indispens­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able in educational research for analysing and interpreting complex datasets on students’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performance. PCA, a robust dimensionality reduction technique, transforms original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variables into orthogonal components that maximise variance, enabling the identific</w:t>
      </w:r>
      <w:hyperlink r:id="rId59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a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­</w:t>
      </w:r>
    </w:p>
    <w:p>
      <w:pPr>
        <w:autoSpaceDN w:val="0"/>
        <w:autoSpaceDE w:val="0"/>
        <w:widowControl/>
        <w:spacing w:line="252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tion of hidden patterns and structures within the data. For instance, Borges et al., [</w:t>
      </w:r>
      <w:hyperlink r:id="rId59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utilised PCA to predict students’ performance and uncover implicit patterns in datas­</w:t>
      </w:r>
    </w:p>
    <w:p>
      <w:pPr>
        <w:autoSpaceDN w:val="0"/>
        <w:autoSpaceDE w:val="0"/>
        <w:widowControl/>
        <w:spacing w:line="282" w:lineRule="exact" w:before="62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ets that incorporated social and personal characteristics. The findings demonstrated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that PCA effectively retained critical information, even after dimensionality reduction,</w:t>
      </w:r>
    </w:p>
    <w:p>
      <w:pPr>
        <w:autoSpaceDN w:val="0"/>
        <w:autoSpaceDE w:val="0"/>
        <w:widowControl/>
        <w:spacing w:line="256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ther</w:t>
      </w:r>
      <w:hyperlink r:id="rId60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e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by enhancing the interpretability of the educational data. Similarly, Giovannella et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al. [</w:t>
      </w:r>
      <w:hyperlink r:id="rId6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8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 applied PCA within Web 2.0-based learning environments to examine the rela­</w:t>
      </w:r>
    </w:p>
    <w:p>
      <w:pPr>
        <w:autoSpaceDN w:val="0"/>
        <w:autoSpaceDE w:val="0"/>
        <w:widowControl/>
        <w:spacing w:line="282" w:lineRule="exact" w:before="58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tionship between student activities and final academic performance, revealing that spe­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cific online activities predicted academic success and highlighting PCA’s relevance in</w:t>
      </w:r>
    </w:p>
    <w:p>
      <w:pPr>
        <w:autoSpaceDN w:val="0"/>
        <w:autoSpaceDE w:val="0"/>
        <w:widowControl/>
        <w:spacing w:line="256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aligning perform</w:t>
      </w:r>
      <w:hyperlink r:id="rId61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an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ce indicators with modern educational technologies. Additionally,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Twenefour et al. [</w:t>
      </w:r>
      <w:hyperlink r:id="rId61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28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 employed PCA to address inconsistencies in grading systems, pro­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posing a novel performance metric derived from principal components, which offered a</w:t>
      </w:r>
    </w:p>
    <w:p>
      <w:pPr>
        <w:sectPr>
          <w:pgSz w:w="11906" w:h="15874"/>
          <w:pgMar w:top="240" w:right="240" w:bottom="122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820" w:type="dxa"/>
        <w:gridCol w:w="402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3 of 18</w:t>
            </w:r>
          </w:p>
        </w:tc>
      </w:tr>
    </w:tbl>
    <w:p>
      <w:pPr>
        <w:autoSpaceDN w:val="0"/>
        <w:autoSpaceDE w:val="0"/>
        <w:widowControl/>
        <w:spacing w:line="290" w:lineRule="exact" w:before="73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more nuanced evaluation of individual student differences and improved the fairness of</w:t>
      </w:r>
    </w:p>
    <w:p>
      <w:pPr>
        <w:autoSpaceDN w:val="0"/>
        <w:autoSpaceDE w:val="0"/>
        <w:widowControl/>
        <w:spacing w:line="118" w:lineRule="exact" w:before="64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assessments.</w:t>
      </w:r>
    </w:p>
    <w:p>
      <w:pPr>
        <w:autoSpaceDN w:val="0"/>
        <w:autoSpaceDE w:val="0"/>
        <w:widowControl/>
        <w:spacing w:line="284" w:lineRule="exact" w:before="100" w:after="0"/>
        <w:ind w:left="2112" w:right="2114" w:firstLine="16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Complementing PCA, EA offers a flexible framework for identifying latent trends and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relationships in data without requiring predefined hypotheses. Hu et al. [</w:t>
      </w:r>
      <w:hyperlink r:id="rId62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 demon­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strated the effectiveness of integrating PCA into an EA framework for evaluating teach­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ing quality in higher education. They validated their assessment tool using Cronbach’s</w:t>
      </w:r>
    </w:p>
    <w:p>
      <w:pPr>
        <w:autoSpaceDN w:val="0"/>
        <w:autoSpaceDE w:val="0"/>
        <w:widowControl/>
        <w:spacing w:line="268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alpha, reinforcing the value of multivariate approaches in robust, statistically sound eval­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uations of educational programs. Collectively, these studies highlight the pivotal role of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PCA and EA techniques in enhancing the understanding of student performance across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diverse educational settings, thereby forming a strong foundation for the present study.</w:t>
      </w:r>
    </w:p>
    <w:p>
      <w:pPr>
        <w:autoSpaceDN w:val="0"/>
        <w:autoSpaceDE w:val="0"/>
        <w:widowControl/>
        <w:spacing w:line="284" w:lineRule="exact" w:before="0" w:after="0"/>
        <w:ind w:left="2112" w:right="2112" w:firstLine="16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Across recent research, several core EA techniques have emerged as essential tools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for analysing educational datasets. PCA remains a dominant method for dimensio</w:t>
      </w:r>
      <w:hyperlink r:id="rId59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n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al</w:t>
      </w:r>
      <w:hyperlink r:id="rId60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it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y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reduction, preserving critical variance while simplifying complex data structures [</w:t>
      </w:r>
      <w:hyperlink r:id="rId59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,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6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8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].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Complementing this, clustering techniques, particularly K-means clustering combined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with the Elbow method and Silhouette scores, have been </w:t>
      </w:r>
      <w:hyperlink r:id="rId63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wi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dely applied to uncover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latent groupings and behavioural patterns among students [</w:t>
      </w:r>
      <w:hyperlink r:id="rId63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Furthermore, correla­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tion analysis and advanced visualisation methods have proven instrumental for pattern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</w:t>
      </w:r>
      <w:hyperlink r:id="rId64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et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ection and mapping relationships between variables in large-scale educational studies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[</w:t>
      </w:r>
      <w:hyperlink r:id="rId64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16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Finally, exploratory factor analysis (EFA) has been extensively used for validating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psychometric instruments, exemplified by the </w:t>
      </w:r>
      <w:hyperlink r:id="rId65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de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velopment and validation of the Stu­</w:t>
      </w:r>
    </w:p>
    <w:p>
      <w:pPr>
        <w:autoSpaceDN w:val="0"/>
        <w:autoSpaceDE w:val="0"/>
        <w:widowControl/>
        <w:spacing w:line="254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dent Online Learning Readiness (SOLR) model [</w:t>
      </w:r>
      <w:hyperlink r:id="rId65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thus highlighting the EA’s dual con­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tribution to exploratory insights and the strengthening of measurement precision within</w:t>
      </w:r>
    </w:p>
    <w:p>
      <w:pPr>
        <w:autoSpaceDN w:val="0"/>
        <w:autoSpaceDE w:val="0"/>
        <w:widowControl/>
        <w:spacing w:line="284" w:lineRule="exact" w:before="56" w:after="0"/>
        <w:ind w:left="2112" w:right="2114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educational research. The purpose of this study is to apply multivariate analysis tech­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niques, specifically PCA and complementary EA, to assess the academic performance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of final-year mechanical engineering students at Mbeya University of Science and Tech­</w:t>
      </w:r>
    </w:p>
    <w:p>
      <w:pPr>
        <w:autoSpaceDN w:val="0"/>
        <w:autoSpaceDE w:val="0"/>
        <w:widowControl/>
        <w:spacing w:line="256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nology (MUST). By identifying latent performance structures and potential curriculum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gaps, the study aims to generate evidence-based insights that can inform curriculum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refinement, enhance graduate readiness, and align mechanical engineering education</w:t>
      </w:r>
    </w:p>
    <w:p>
      <w:pPr>
        <w:autoSpaceDN w:val="0"/>
        <w:autoSpaceDE w:val="0"/>
        <w:widowControl/>
        <w:spacing w:line="188" w:lineRule="exact" w:before="38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with Tanzania’s Vision 2025 industrialisation objectives.</w:t>
      </w:r>
    </w:p>
    <w:p>
      <w:pPr>
        <w:autoSpaceDN w:val="0"/>
        <w:autoSpaceDE w:val="0"/>
        <w:widowControl/>
        <w:spacing w:line="286" w:lineRule="exact" w:before="272" w:after="0"/>
        <w:ind w:left="2112" w:right="2016" w:firstLine="0"/>
        <w:jc w:val="left"/>
      </w:pPr>
      <w:r>
        <w:rPr>
          <w:spacing w:val="-10"/>
          <w:w w:val="98.0952399117606"/>
          <w:rFonts w:ascii="MyriadPro" w:hAnsi="MyriadPro" w:eastAsia="MyriadPro"/>
          <w:b/>
          <w:color w:val="000000"/>
          <w:sz w:val="21"/>
        </w:rPr>
        <w:t xml:space="preserve">2 Conceptual framework: outcome-based education and data-driven </w:t>
      </w:r>
      <w:r>
        <w:br/>
      </w:r>
      <w:r>
        <w:rPr>
          <w:spacing w:val="-10"/>
          <w:w w:val="98.0952399117606"/>
          <w:rFonts w:ascii="MyriadPro" w:hAnsi="MyriadPro" w:eastAsia="MyriadPro"/>
          <w:b/>
          <w:color w:val="000000"/>
          <w:sz w:val="21"/>
        </w:rPr>
        <w:t xml:space="preserve">evaluation of learning outcomes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Outcome-Based Education (OBE) organises curriculum design, teaching strategies, and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assessment around clearly defined learning outc</w:t>
      </w:r>
      <w:hyperlink r:id="rId66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o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mes that students are expected to dem­</w:t>
      </w:r>
    </w:p>
    <w:p>
      <w:pPr>
        <w:autoSpaceDN w:val="0"/>
        <w:autoSpaceDE w:val="0"/>
        <w:widowControl/>
        <w:spacing w:line="270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onstrate upon completing a program. Spady, [</w:t>
      </w:r>
      <w:hyperlink r:id="rId66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 argues that this approach shifts the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emphasis from the mere delivery of course content to the achievement of measurable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competencies. Within this framework, learning outcomes guide instructional planning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and assessment practices to ensure that students acquire knowledge, technical abilities,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professional skills relevant to real-world contexts.</w:t>
      </w:r>
    </w:p>
    <w:p>
      <w:pPr>
        <w:autoSpaceDN w:val="0"/>
        <w:autoSpaceDE w:val="0"/>
        <w:widowControl/>
        <w:spacing w:line="284" w:lineRule="exact" w:before="2" w:after="0"/>
        <w:ind w:left="2112" w:right="2016" w:firstLine="16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 central principle supporting OBE is constructive alignment, which ensures that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learning outcomes, teaching activities, and assessment methods are coherently linked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[</w:t>
      </w:r>
      <w:hyperlink r:id="rId67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30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Through this alignment, educational programs can more effectively evaluate</w:t>
      </w:r>
    </w:p>
    <w:p>
      <w:pPr>
        <w:autoSpaceDN w:val="0"/>
        <w:autoSpaceDE w:val="0"/>
        <w:widowControl/>
        <w:spacing w:line="268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whether students have developed the competencies required for professional practice.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In engineering education, such alignment is particularly important because programs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must demonstrate that graduates possess the analytical, t</w:t>
      </w:r>
      <w:hyperlink r:id="rId68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ec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hnical, and problem-solving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capabilities expected by industry and professional bodies [</w:t>
      </w:r>
      <w:hyperlink r:id="rId68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10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</w:t>
      </w:r>
    </w:p>
    <w:p>
      <w:pPr>
        <w:sectPr>
          <w:pgSz w:w="11906" w:h="15874"/>
          <w:pgMar w:top="240" w:right="240" w:bottom="126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1619250</wp:posOffset>
            </wp:positionH>
            <wp:positionV relativeFrom="page">
              <wp:posOffset>6496050</wp:posOffset>
            </wp:positionV>
            <wp:extent cx="4324350" cy="24828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4324350" cy="248285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820" w:type="dxa"/>
        <w:gridCol w:w="402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4 of 18</w:t>
            </w:r>
          </w:p>
        </w:tc>
      </w:tr>
    </w:tbl>
    <w:p>
      <w:pPr>
        <w:autoSpaceDN w:val="0"/>
        <w:autoSpaceDE w:val="0"/>
        <w:widowControl/>
        <w:spacing w:line="188" w:lineRule="exact" w:before="776" w:after="0"/>
        <w:ind w:left="227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 this context, quantitative educational analytics provide an important mechanism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for evaluating how well academic outcomes reflect actual student performance patterns.</w:t>
      </w:r>
    </w:p>
    <w:p>
      <w:pPr>
        <w:autoSpaceDN w:val="0"/>
        <w:autoSpaceDE w:val="0"/>
        <w:widowControl/>
        <w:spacing w:line="272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Multivariate statistical techniques allow researchers to examine relationships among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course results, uncover hidden performance structures, and identify areas where curric­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ulum delivery may require improvement. By integrating such analytical approaches with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principles of OBE, educational institutions can move beyond descriptive evalua­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tion toward evidence-based curriculum development. Consequently, applying advanced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exploratory and dimensionality-reduction techniques to student performance data offers</w:t>
      </w:r>
    </w:p>
    <w:p>
      <w:pPr>
        <w:autoSpaceDN w:val="0"/>
        <w:autoSpaceDE w:val="0"/>
        <w:widowControl/>
        <w:spacing w:line="264" w:lineRule="exact" w:before="0" w:after="0"/>
        <w:ind w:left="2112" w:right="2114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 systematic approach for identifying latent learning patterns, diagnosing curriculum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strengths and weaknesses, and aligning engineering education outcomes with national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industrial development goals.</w:t>
      </w:r>
    </w:p>
    <w:p>
      <w:pPr>
        <w:autoSpaceDN w:val="0"/>
        <w:autoSpaceDE w:val="0"/>
        <w:widowControl/>
        <w:spacing w:line="192" w:lineRule="exact" w:before="372" w:after="0"/>
        <w:ind w:left="2112" w:right="0" w:firstLine="0"/>
        <w:jc w:val="left"/>
      </w:pPr>
      <w:r>
        <w:rPr>
          <w:spacing w:val="-10"/>
          <w:w w:val="98.0952399117606"/>
          <w:rFonts w:ascii="MyriadPro" w:hAnsi="MyriadPro" w:eastAsia="MyriadPro"/>
          <w:b/>
          <w:color w:val="000000"/>
          <w:sz w:val="21"/>
        </w:rPr>
        <w:t>3 Methodology</w:t>
      </w:r>
    </w:p>
    <w:p>
      <w:pPr>
        <w:autoSpaceDN w:val="0"/>
        <w:autoSpaceDE w:val="0"/>
        <w:widowControl/>
        <w:spacing w:line="282" w:lineRule="exact" w:before="6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This study employed a quantitative, exploratory approach to analyse students’ perfor­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mance data using EA and PCA (Fig.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69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). The methodology was designed to uncover hid­</w:t>
      </w:r>
    </w:p>
    <w:p>
      <w:pPr>
        <w:autoSpaceDN w:val="0"/>
        <w:autoSpaceDE w:val="0"/>
        <w:widowControl/>
        <w:spacing w:line="264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den patterns, reduce data dimensionality and enhance the interpretation of academic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outcomes. A structured dataset, rigorous statistical procedures and ethical safeguards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underpinned the research process.</w:t>
      </w:r>
    </w:p>
    <w:p>
      <w:pPr>
        <w:autoSpaceDN w:val="0"/>
        <w:autoSpaceDE w:val="0"/>
        <w:widowControl/>
        <w:spacing w:line="170" w:lineRule="exact" w:before="390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3.1 Research design</w:t>
      </w:r>
    </w:p>
    <w:p>
      <w:pPr>
        <w:autoSpaceDN w:val="0"/>
        <w:autoSpaceDE w:val="0"/>
        <w:widowControl/>
        <w:spacing w:line="290" w:lineRule="exact" w:before="5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This study employed a quantitative and exploratory research design, utilising EA and</w:t>
      </w:r>
    </w:p>
    <w:p>
      <w:pPr>
        <w:autoSpaceDN w:val="0"/>
        <w:autoSpaceDE w:val="0"/>
        <w:widowControl/>
        <w:spacing w:line="186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PCA to investigate academic performance patterns among mechanical engineering stu­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dents. The primary objective was to identify key factors influencing student outcomes,</w:t>
      </w:r>
    </w:p>
    <w:p>
      <w:pPr>
        <w:autoSpaceDN w:val="0"/>
        <w:autoSpaceDE w:val="0"/>
        <w:widowControl/>
        <w:spacing w:line="248" w:lineRule="exact" w:before="0" w:after="0"/>
        <w:ind w:left="2112" w:right="2016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reduce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</w:t>
      </w:r>
      <w:hyperlink r:id="rId70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at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 dimensionality, enhance interpretability and inform curriculum develop­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ment [</w:t>
      </w:r>
      <w:hyperlink r:id="rId71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,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7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</w:t>
      </w:r>
    </w:p>
    <w:p>
      <w:pPr>
        <w:autoSpaceDN w:val="0"/>
        <w:autoSpaceDE w:val="0"/>
        <w:widowControl/>
        <w:spacing w:line="168" w:lineRule="exact" w:before="402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3.2 Population and sampling</w:t>
      </w:r>
    </w:p>
    <w:p>
      <w:pPr>
        <w:autoSpaceDN w:val="0"/>
        <w:autoSpaceDE w:val="0"/>
        <w:widowControl/>
        <w:spacing w:line="292" w:lineRule="exact" w:before="5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target population consisted of 117 final-year mechanical engineering students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enrolled at Mbeya University of Science and Technology during the 2023/2024 academic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year. A purposive sampling approach was applied to select final-year students, as their</w:t>
      </w:r>
    </w:p>
    <w:p>
      <w:pPr>
        <w:autoSpaceDN w:val="0"/>
        <w:autoSpaceDE w:val="0"/>
        <w:widowControl/>
        <w:spacing w:line="182" w:lineRule="exact" w:before="4216" w:after="0"/>
        <w:ind w:left="0" w:right="0" w:firstLine="0"/>
        <w:jc w:val="center"/>
      </w:pPr>
      <w:r>
        <w:rPr>
          <w:spacing w:val="-10"/>
          <w:rFonts w:ascii="MyriadPro" w:hAnsi="MyriadPro" w:eastAsia="MyriadPro"/>
          <w:b/>
          <w:color w:val="000000"/>
          <w:sz w:val="16"/>
        </w:rPr>
        <w:t>Fig. 1</w:t>
      </w:r>
      <w:r>
        <w:rPr>
          <w:spacing w:val="-10"/>
          <w:rFonts w:ascii="MyriadPro" w:hAnsi="MyriadPro" w:eastAsia="MyriadPro"/>
          <w:color w:val="000000"/>
          <w:sz w:val="16"/>
        </w:rPr>
        <w:t xml:space="preserve"> A flow diagram on the application of Exploratory Analysis (EA) and Principal Component Analysis (PCA) in</w:t>
      </w:r>
    </w:p>
    <w:p>
      <w:pPr>
        <w:autoSpaceDN w:val="0"/>
        <w:autoSpaceDE w:val="0"/>
        <w:widowControl/>
        <w:spacing w:line="150" w:lineRule="exact" w:before="44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>the context of assessing student performance</w:t>
      </w:r>
    </w:p>
    <w:p>
      <w:pPr>
        <w:sectPr>
          <w:pgSz w:w="11906" w:h="15874"/>
          <w:pgMar w:top="240" w:right="240" w:bottom="114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820" w:type="dxa"/>
        <w:gridCol w:w="402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5 of 18</w:t>
            </w:r>
          </w:p>
        </w:tc>
      </w:tr>
    </w:tbl>
    <w:p>
      <w:pPr>
        <w:autoSpaceDN w:val="0"/>
        <w:autoSpaceDE w:val="0"/>
        <w:widowControl/>
        <w:spacing w:line="188" w:lineRule="exact" w:before="77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accumulated academic records provided a comprehensive basis for multivariate analysis.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This strategy was chosen to max</w:t>
      </w:r>
      <w:hyperlink r:id="rId73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i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mise variability in the performance measure and ensure</w:t>
      </w:r>
    </w:p>
    <w:p>
      <w:pPr>
        <w:autoSpaceDN w:val="0"/>
        <w:autoSpaceDE w:val="0"/>
        <w:widowControl/>
        <w:spacing w:line="174" w:lineRule="exact" w:before="38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 rich dataset suitable for PCA [</w:t>
      </w:r>
      <w:hyperlink r:id="rId73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6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</w:t>
      </w:r>
    </w:p>
    <w:p>
      <w:pPr>
        <w:autoSpaceDN w:val="0"/>
        <w:autoSpaceDE w:val="0"/>
        <w:widowControl/>
        <w:spacing w:line="126" w:lineRule="exact" w:before="40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3.3 Instruments</w:t>
      </w:r>
    </w:p>
    <w:p>
      <w:pPr>
        <w:autoSpaceDN w:val="0"/>
        <w:autoSpaceDE w:val="0"/>
        <w:widowControl/>
        <w:spacing w:line="292" w:lineRule="exact" w:before="9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primary research instrument was a structured academic dataset comprising final</w:t>
      </w:r>
    </w:p>
    <w:p>
      <w:pPr>
        <w:autoSpaceDN w:val="0"/>
        <w:autoSpaceDE w:val="0"/>
        <w:widowControl/>
        <w:spacing w:line="268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examination results, sourced from the University’s Student Information Management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System (SIMS) under the institutional authorisation. Data cleaning, tr</w:t>
      </w:r>
      <w:hyperlink r:id="rId74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a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nsformation and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statistical analysis were conducted using Jamovi and Microsoft Excel [</w:t>
      </w:r>
      <w:hyperlink r:id="rId74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7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Data prepara­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tion included ensuring uniform scaling and handling missing values to meet the prereq­</w:t>
      </w:r>
    </w:p>
    <w:p>
      <w:pPr>
        <w:autoSpaceDN w:val="0"/>
        <w:autoSpaceDE w:val="0"/>
        <w:widowControl/>
        <w:spacing w:line="144" w:lineRule="exact" w:before="96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uisites for PCA.</w:t>
      </w:r>
    </w:p>
    <w:p>
      <w:pPr>
        <w:autoSpaceDN w:val="0"/>
        <w:autoSpaceDE w:val="0"/>
        <w:widowControl/>
        <w:spacing w:line="284" w:lineRule="exact" w:before="318" w:after="0"/>
        <w:ind w:left="2112" w:right="2016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 xml:space="preserve">3.4 Validity and reliability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To enhance data validity, varia</w:t>
      </w:r>
      <w:hyperlink r:id="rId75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b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les were standardised, accounting for PCA’s sensitiv­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ity to the measurement scale [</w:t>
      </w:r>
      <w:hyperlink r:id="rId75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9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]. Reliability analysis was conducted using Cronbach’s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alpha and McDonald’s omega to evaluate the internal consistency of the performance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indicators, ensuring that the items collectively measured a coherent construct of stu­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dent academic performance. Additionally, the dataset’s suitability for PCA </w:t>
      </w:r>
      <w:hyperlink r:id="rId76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wa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s validated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using the Kaiser-Meyer-Olkin (KMO) test and Bartlett’s Test of Sphericity [</w:t>
      </w:r>
      <w:hyperlink r:id="rId76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ensuring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sampling adequacy and verifying that the correlations among variables were sufficiently</w:t>
      </w:r>
    </w:p>
    <w:p>
      <w:pPr>
        <w:autoSpaceDN w:val="0"/>
        <w:autoSpaceDE w:val="0"/>
        <w:widowControl/>
        <w:spacing w:line="188" w:lineRule="exact" w:before="38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strong for PCA.</w:t>
      </w:r>
    </w:p>
    <w:p>
      <w:pPr>
        <w:autoSpaceDN w:val="0"/>
        <w:autoSpaceDE w:val="0"/>
        <w:widowControl/>
        <w:spacing w:line="134" w:lineRule="exact" w:before="386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3.5 Statistical treatment of data</w:t>
      </w:r>
    </w:p>
    <w:p>
      <w:pPr>
        <w:autoSpaceDN w:val="0"/>
        <w:autoSpaceDE w:val="0"/>
        <w:widowControl/>
        <w:spacing w:line="292" w:lineRule="exact" w:before="9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statistical analysis proceeded in two main phases. The first phase involved Explor­</w:t>
      </w:r>
    </w:p>
    <w:p>
      <w:pPr>
        <w:autoSpaceDN w:val="0"/>
        <w:autoSpaceDE w:val="0"/>
        <w:widowControl/>
        <w:spacing w:line="254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atory Analysis (EA), which was employed to investigate variable distributions, identify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outliers, and generate descriptive statistics, as well as correlation matrices and scatter­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plots, for initial pattern detection. This aligns with Tukey’s (1977) foundational view of</w:t>
      </w:r>
    </w:p>
    <w:p>
      <w:pPr>
        <w:autoSpaceDN w:val="0"/>
        <w:autoSpaceDE w:val="0"/>
        <w:widowControl/>
        <w:spacing w:line="272" w:lineRule="exact" w:before="0" w:after="0"/>
        <w:ind w:left="2112" w:right="2114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EA as a strategy for revealing structure, detecting anomalies, and guiding subsequent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formal analyses without imposing rigid assumptions. Principal Component Analysis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(PCA) was subsequently applied, involving the computation of a covariance matrix and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eigen decomposition to extract principal components. Retention of components was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based on explaining at least 85%–90% of the cumulative variance. Component loadings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were analysed to interpret variable con</w:t>
      </w:r>
      <w:hyperlink r:id="rId71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t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ributions, while scree plots and biplots facili­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tated visualisation of the data structure [</w:t>
      </w:r>
      <w:hyperlink r:id="rId71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</w:t>
      </w:r>
    </w:p>
    <w:p>
      <w:pPr>
        <w:autoSpaceDN w:val="0"/>
        <w:autoSpaceDE w:val="0"/>
        <w:widowControl/>
        <w:spacing w:line="134" w:lineRule="exact" w:before="402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3.6 Ethical considerations</w:t>
      </w:r>
    </w:p>
    <w:p>
      <w:pPr>
        <w:autoSpaceDN w:val="0"/>
        <w:autoSpaceDE w:val="0"/>
        <w:widowControl/>
        <w:spacing w:line="284" w:lineRule="exact" w:before="100" w:after="0"/>
        <w:ind w:left="2112" w:right="2114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This study was conducted in strict adherence to established ethical principles to safe­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guard the rights, privacy, and confidentiality of all participants. Research clearance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was obtained from Mbeya University of Science and Technology, confirming compli­</w:t>
      </w:r>
    </w:p>
    <w:p>
      <w:pPr>
        <w:autoSpaceDN w:val="0"/>
        <w:autoSpaceDE w:val="0"/>
        <w:widowControl/>
        <w:spacing w:line="264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ance with the University’s ethical guidelines and institutional research requirements.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In addition, authorisation was sought from relevant government authorities to ensure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alignment with national research regulations and lawful data collection procedures. To</w:t>
      </w:r>
    </w:p>
    <w:p>
      <w:pPr>
        <w:autoSpaceDN w:val="0"/>
        <w:autoSpaceDE w:val="0"/>
        <w:widowControl/>
        <w:spacing w:line="284" w:lineRule="exact" w:before="56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protect participants’ rights, anonymity and confidentiality were rigorously maintained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throughout the study. No personally identifiable information was collected or disclosed,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all datasets were fully anonymised to prevent the identification of individual stu­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dents. Confidentiality was further ensured through secure data storage and restricted</w:t>
      </w:r>
    </w:p>
    <w:p>
      <w:pPr>
        <w:sectPr>
          <w:pgSz w:w="11906" w:h="15874"/>
          <w:pgMar w:top="240" w:right="240" w:bottom="122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7844790</wp:posOffset>
            </wp:positionV>
            <wp:extent cx="151384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151384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3007360</wp:posOffset>
            </wp:positionH>
            <wp:positionV relativeFrom="page">
              <wp:posOffset>7844790</wp:posOffset>
            </wp:positionV>
            <wp:extent cx="1233169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1233169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4278630</wp:posOffset>
            </wp:positionH>
            <wp:positionV relativeFrom="page">
              <wp:posOffset>7844790</wp:posOffset>
            </wp:positionV>
            <wp:extent cx="151384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151384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5792470</wp:posOffset>
            </wp:positionH>
            <wp:positionV relativeFrom="page">
              <wp:posOffset>7696200</wp:posOffset>
            </wp:positionV>
            <wp:extent cx="27305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27305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5792470</wp:posOffset>
            </wp:positionH>
            <wp:positionV relativeFrom="page">
              <wp:posOffset>7844790</wp:posOffset>
            </wp:positionV>
            <wp:extent cx="27305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27305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9326880</wp:posOffset>
            </wp:positionV>
            <wp:extent cx="457200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79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820" w:type="dxa"/>
        <w:gridCol w:w="402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6 of 18</w:t>
            </w:r>
          </w:p>
        </w:tc>
      </w:tr>
    </w:tbl>
    <w:p>
      <w:pPr>
        <w:autoSpaceDN w:val="0"/>
        <w:autoSpaceDE w:val="0"/>
        <w:widowControl/>
        <w:spacing w:line="282" w:lineRule="exact" w:before="682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access limited to authorised personnel only. Data were handled exclusively for research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institutional development purposes. Overall, the study complied with recognised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ethical standards for research</w:t>
      </w:r>
      <w:hyperlink r:id="rId77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 xml:space="preserve"> in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volving human participants. The ethical approach</w:t>
      </w:r>
    </w:p>
    <w:p>
      <w:pPr>
        <w:autoSpaceDN w:val="0"/>
        <w:autoSpaceDE w:val="0"/>
        <w:widowControl/>
        <w:spacing w:line="186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adopted aligns with Resnik’s [</w:t>
      </w:r>
      <w:hyperlink r:id="rId77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19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 framework, which emphasises informed consent,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confidentiality, and responsible data stewardship as fundamental principles in ethical</w:t>
      </w:r>
    </w:p>
    <w:p>
      <w:pPr>
        <w:autoSpaceDN w:val="0"/>
        <w:autoSpaceDE w:val="0"/>
        <w:widowControl/>
        <w:spacing w:line="184" w:lineRule="exact" w:before="4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research practice.</w:t>
      </w:r>
    </w:p>
    <w:p>
      <w:pPr>
        <w:autoSpaceDN w:val="0"/>
        <w:autoSpaceDE w:val="0"/>
        <w:widowControl/>
        <w:spacing w:line="150" w:lineRule="exact" w:before="374" w:after="0"/>
        <w:ind w:left="2112" w:right="0" w:firstLine="0"/>
        <w:jc w:val="left"/>
      </w:pPr>
      <w:r>
        <w:rPr>
          <w:spacing w:val="-10"/>
          <w:w w:val="98.0952399117606"/>
          <w:rFonts w:ascii="MyriadPro" w:hAnsi="MyriadPro" w:eastAsia="MyriadPro"/>
          <w:b/>
          <w:color w:val="000000"/>
          <w:sz w:val="21"/>
        </w:rPr>
        <w:t>4 Results and discussion</w:t>
      </w:r>
    </w:p>
    <w:p>
      <w:pPr>
        <w:autoSpaceDN w:val="0"/>
        <w:autoSpaceDE w:val="0"/>
        <w:widowControl/>
        <w:spacing w:line="290" w:lineRule="exact" w:before="9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This section presents the findings and discussion, utilising EA and PCA, in alignment</w:t>
      </w:r>
    </w:p>
    <w:p>
      <w:pPr>
        <w:autoSpaceDN w:val="0"/>
        <w:autoSpaceDE w:val="0"/>
        <w:widowControl/>
        <w:spacing w:line="264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with the study’s objectives. EA examined data distributions, variability and correlations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to identify performance patterns and areas needing intervention. PCA reduced data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dimensionality, revealing key academic constructs, such as technical skills and project-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based competencies that significantly influenced outcomes. EA and PCA provided a</w:t>
      </w:r>
    </w:p>
    <w:p>
      <w:pPr>
        <w:autoSpaceDN w:val="0"/>
        <w:autoSpaceDE w:val="0"/>
        <w:widowControl/>
        <w:spacing w:line="186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comprehensive view of students’ performance, uncovering hidden trends and interde­</w:t>
      </w:r>
    </w:p>
    <w:p>
      <w:pPr>
        <w:autoSpaceDN w:val="0"/>
        <w:autoSpaceDE w:val="0"/>
        <w:widowControl/>
        <w:spacing w:line="284" w:lineRule="exact" w:before="56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pendencies across courses. This dual-method approach supports data-driven insights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for curriculum refinement, ensuring that mechanical engineering education aligns with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Tanzania’s industrialisation goals. This approach aligns with findings from Tanzanian</w:t>
      </w:r>
    </w:p>
    <w:p>
      <w:pPr>
        <w:autoSpaceDN w:val="0"/>
        <w:autoSpaceDE w:val="0"/>
        <w:widowControl/>
        <w:spacing w:line="272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studies, which emphasise the imp</w:t>
      </w:r>
      <w:hyperlink r:id="rId78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or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tance of aligning technical education curricula with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current industrial skill demands [</w:t>
      </w:r>
      <w:hyperlink r:id="rId78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27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Similar dual-method strategies, such as integrat­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ing both quantitative course performance data and qualitative employer feedback, have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been shown to enhance curriculum relevance in engineering prog</w:t>
      </w:r>
      <w:hyperlink r:id="rId79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ra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ms, thereby bridging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gaps between academic content and workplace expectations [</w:t>
      </w:r>
      <w:hyperlink r:id="rId79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</w:t>
      </w:r>
    </w:p>
    <w:p>
      <w:pPr>
        <w:autoSpaceDN w:val="0"/>
        <w:autoSpaceDE w:val="0"/>
        <w:widowControl/>
        <w:spacing w:line="174" w:lineRule="exact" w:before="386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4.1 Dataset suitable for principal component analysis: KMO and Bartlett’s tests</w:t>
      </w:r>
    </w:p>
    <w:p>
      <w:pPr>
        <w:autoSpaceDN w:val="0"/>
        <w:autoSpaceDE w:val="0"/>
        <w:widowControl/>
        <w:spacing w:line="290" w:lineRule="exact" w:before="5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Kaiser-Meyer-Olkin (KMO) Measure of Sampling Adequacy was used to assess</w:t>
      </w:r>
    </w:p>
    <w:p>
      <w:pPr>
        <w:autoSpaceDN w:val="0"/>
        <w:autoSpaceDE w:val="0"/>
        <w:widowControl/>
        <w:spacing w:line="274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the suitability of the dataset for Principal Component Analysis (PCA), evaluating the </w:t>
      </w:r>
      <w:r>
        <w:br/>
      </w:r>
      <w:hyperlink r:id="rId80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p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roportion of variance among variables that might represent common variance. Table </w:t>
      </w:r>
      <w:r>
        <w:br/>
      </w:r>
      <w:hyperlink r:id="rId8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shows that the overall KMO value was 0.68, which falls within the acceptable range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(0.60–0.70), indicating a mediocre yet adequate level of sampling adequacy for factor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analysis. However, individual Measure of Sampling Adequacy (MSA) values revealed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variation across variables, with some, such as ME 8401 (0.86), ME 8409 (0.89) and ME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8415 (0.88), showing strong adequacy, suggesting these items share substantial com­</w:t>
      </w:r>
    </w:p>
    <w:p>
      <w:pPr>
        <w:autoSpaceDN w:val="0"/>
        <w:autoSpaceDE w:val="0"/>
        <w:widowControl/>
        <w:spacing w:line="276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mon variance with others and are well-suited for inclusion in PCA. In contrast, vari­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ables like ME 8407 (0.26) and ME 8417 (0.20) fell below the critical threshold of 0.50,</w:t>
      </w:r>
    </w:p>
    <w:p>
      <w:pPr>
        <w:autoSpaceDN w:val="0"/>
        <w:autoSpaceDE w:val="0"/>
        <w:widowControl/>
        <w:spacing w:line="290" w:lineRule="exact" w:before="62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indicating weak shared variance and potentially a poor fit within the factor structure.</w:t>
      </w:r>
    </w:p>
    <w:p>
      <w:pPr>
        <w:autoSpaceDN w:val="0"/>
        <w:autoSpaceDE w:val="0"/>
        <w:widowControl/>
        <w:spacing w:line="168" w:lineRule="exact" w:before="388" w:after="42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8"/>
          <w:u w:val="single"/>
        </w:rPr>
        <w:t>Table 1</w:t>
      </w:r>
      <w:r>
        <w:rPr>
          <w:spacing w:val="-10"/>
          <w:rFonts w:ascii="MyriadPro" w:hAnsi="MyriadPro" w:eastAsia="MyriadPro"/>
          <w:color w:val="000000"/>
          <w:sz w:val="18"/>
          <w:u w:val="single"/>
        </w:rPr>
        <w:t xml:space="preserve"> Kaiser-Meyer-Olkin (KM</w:t>
      </w:r>
      <w:r>
        <w:rPr>
          <w:spacing w:val="-10"/>
          <w:rFonts w:ascii="MyriadPro" w:hAnsi="MyriadPro" w:eastAsia="MyriadPro"/>
          <w:color w:val="000000"/>
          <w:sz w:val="18"/>
          <w:u w:val="single"/>
        </w:rPr>
        <w:t>O) measure of sampling ade</w:t>
      </w:r>
      <w:r>
        <w:rPr>
          <w:spacing w:val="-10"/>
          <w:rFonts w:ascii="MyriadPro" w:hAnsi="MyriadPro" w:eastAsia="MyriadPro"/>
          <w:color w:val="000000"/>
          <w:sz w:val="18"/>
          <w:u w:val="single"/>
        </w:rPr>
        <w:t>quacy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660" w:type="dxa"/>
        <w:gridCol w:w="1940" w:type="dxa"/>
        <w:gridCol w:w="2440" w:type="dxa"/>
        <w:gridCol w:w="2220" w:type="dxa"/>
      </w:tblGrid>
      <w:tr>
        <w:trPr>
          <w:trHeight w:hRule="exact" w:val="230"/>
        </w:trPr>
        <w:tc>
          <w:tcPr>
            <w:tcW w:type="dxa" w:w="26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2" w:lineRule="exact" w:before="42" w:after="0"/>
              <w:ind w:left="0" w:right="786" w:firstLine="0"/>
              <w:jc w:val="righ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Description</w:t>
            </w:r>
          </w:p>
        </w:tc>
        <w:tc>
          <w:tcPr>
            <w:tcW w:type="dxa" w:w="1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2" w:lineRule="exact" w:before="4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MSA</w:t>
            </w:r>
          </w:p>
        </w:tc>
        <w:tc>
          <w:tcPr>
            <w:tcW w:type="dxa" w:w="24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2" w:lineRule="exact" w:before="4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Description</w:t>
            </w:r>
          </w:p>
        </w:tc>
        <w:tc>
          <w:tcPr>
            <w:tcW w:type="dxa" w:w="2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2" w:lineRule="exact" w:before="42" w:after="0"/>
              <w:ind w:left="0" w:right="1100" w:firstLine="0"/>
              <w:jc w:val="righ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MSA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480" w:type="dxa"/>
        <w:gridCol w:w="2100" w:type="dxa"/>
        <w:gridCol w:w="2340" w:type="dxa"/>
        <w:gridCol w:w="2320" w:type="dxa"/>
      </w:tblGrid>
      <w:tr>
        <w:trPr>
          <w:trHeight w:hRule="exact" w:val="236"/>
        </w:trPr>
        <w:tc>
          <w:tcPr>
            <w:tcW w:type="dxa" w:w="24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6" w:lineRule="exact" w:before="60" w:after="0"/>
              <w:ind w:left="0" w:right="96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Overall</w:t>
            </w:r>
          </w:p>
        </w:tc>
        <w:tc>
          <w:tcPr>
            <w:tcW w:type="dxa" w:w="2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8" w:after="0"/>
              <w:ind w:left="0" w:right="86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0.68</w:t>
            </w:r>
          </w:p>
        </w:tc>
        <w:tc>
          <w:tcPr>
            <w:tcW w:type="dxa" w:w="2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6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8408</w:t>
            </w:r>
          </w:p>
        </w:tc>
        <w:tc>
          <w:tcPr>
            <w:tcW w:type="dxa" w:w="2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8" w:after="0"/>
              <w:ind w:left="0" w:right="113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0.81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380" w:type="dxa"/>
        <w:gridCol w:w="2200" w:type="dxa"/>
        <w:gridCol w:w="2340" w:type="dxa"/>
        <w:gridCol w:w="2320" w:type="dxa"/>
      </w:tblGrid>
      <w:tr>
        <w:trPr>
          <w:trHeight w:hRule="exact" w:val="230"/>
        </w:trPr>
        <w:tc>
          <w:tcPr>
            <w:tcW w:type="dxa" w:w="23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GPA</w:t>
            </w:r>
          </w:p>
        </w:tc>
        <w:tc>
          <w:tcPr>
            <w:tcW w:type="dxa" w:w="2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86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0.62</w:t>
            </w:r>
          </w:p>
        </w:tc>
        <w:tc>
          <w:tcPr>
            <w:tcW w:type="dxa" w:w="2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8409</w:t>
            </w:r>
          </w:p>
        </w:tc>
        <w:tc>
          <w:tcPr>
            <w:tcW w:type="dxa" w:w="2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13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0.89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520" w:type="dxa"/>
        <w:gridCol w:w="2060" w:type="dxa"/>
        <w:gridCol w:w="2340" w:type="dxa"/>
        <w:gridCol w:w="2320" w:type="dxa"/>
      </w:tblGrid>
      <w:tr>
        <w:trPr>
          <w:trHeight w:hRule="exact" w:val="232"/>
        </w:trPr>
        <w:tc>
          <w:tcPr>
            <w:tcW w:type="dxa" w:w="25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2" w:lineRule="exact" w:before="60" w:after="0"/>
              <w:ind w:left="0" w:right="93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CS 8406</w:t>
            </w:r>
          </w:p>
        </w:tc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4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0.59</w:t>
            </w:r>
          </w:p>
        </w:tc>
        <w:tc>
          <w:tcPr>
            <w:tcW w:type="dxa" w:w="2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8410</w:t>
            </w:r>
          </w:p>
        </w:tc>
        <w:tc>
          <w:tcPr>
            <w:tcW w:type="dxa" w:w="2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4" w:after="0"/>
              <w:ind w:left="0" w:right="113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0.77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520" w:type="dxa"/>
        <w:gridCol w:w="2060" w:type="dxa"/>
        <w:gridCol w:w="2340" w:type="dxa"/>
        <w:gridCol w:w="2320" w:type="dxa"/>
      </w:tblGrid>
      <w:tr>
        <w:trPr>
          <w:trHeight w:hRule="exact" w:val="230"/>
        </w:trPr>
        <w:tc>
          <w:tcPr>
            <w:tcW w:type="dxa" w:w="25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90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8401</w:t>
            </w:r>
          </w:p>
        </w:tc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0.86</w:t>
            </w:r>
          </w:p>
        </w:tc>
        <w:tc>
          <w:tcPr>
            <w:tcW w:type="dxa" w:w="2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8411</w:t>
            </w:r>
          </w:p>
        </w:tc>
        <w:tc>
          <w:tcPr>
            <w:tcW w:type="dxa" w:w="2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13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0.76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520" w:type="dxa"/>
        <w:gridCol w:w="2060" w:type="dxa"/>
        <w:gridCol w:w="2340" w:type="dxa"/>
        <w:gridCol w:w="2320" w:type="dxa"/>
      </w:tblGrid>
      <w:tr>
        <w:trPr>
          <w:trHeight w:hRule="exact" w:val="228"/>
        </w:trPr>
        <w:tc>
          <w:tcPr>
            <w:tcW w:type="dxa" w:w="25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90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8402</w:t>
            </w:r>
          </w:p>
        </w:tc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0.78</w:t>
            </w:r>
          </w:p>
        </w:tc>
        <w:tc>
          <w:tcPr>
            <w:tcW w:type="dxa" w:w="2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8412</w:t>
            </w:r>
          </w:p>
        </w:tc>
        <w:tc>
          <w:tcPr>
            <w:tcW w:type="dxa" w:w="2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113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0.64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520" w:type="dxa"/>
        <w:gridCol w:w="2060" w:type="dxa"/>
        <w:gridCol w:w="2340" w:type="dxa"/>
        <w:gridCol w:w="2320" w:type="dxa"/>
      </w:tblGrid>
      <w:tr>
        <w:trPr>
          <w:trHeight w:hRule="exact" w:val="230"/>
        </w:trPr>
        <w:tc>
          <w:tcPr>
            <w:tcW w:type="dxa" w:w="25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90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8403</w:t>
            </w:r>
          </w:p>
        </w:tc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0.61</w:t>
            </w:r>
          </w:p>
        </w:tc>
        <w:tc>
          <w:tcPr>
            <w:tcW w:type="dxa" w:w="2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8413</w:t>
            </w:r>
          </w:p>
        </w:tc>
        <w:tc>
          <w:tcPr>
            <w:tcW w:type="dxa" w:w="2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13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0.71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520" w:type="dxa"/>
        <w:gridCol w:w="2060" w:type="dxa"/>
        <w:gridCol w:w="2340" w:type="dxa"/>
        <w:gridCol w:w="2320" w:type="dxa"/>
      </w:tblGrid>
      <w:tr>
        <w:trPr>
          <w:trHeight w:hRule="exact" w:val="230"/>
        </w:trPr>
        <w:tc>
          <w:tcPr>
            <w:tcW w:type="dxa" w:w="25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90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8404</w:t>
            </w:r>
          </w:p>
        </w:tc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0.56</w:t>
            </w:r>
          </w:p>
        </w:tc>
        <w:tc>
          <w:tcPr>
            <w:tcW w:type="dxa" w:w="2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8414</w:t>
            </w:r>
          </w:p>
        </w:tc>
        <w:tc>
          <w:tcPr>
            <w:tcW w:type="dxa" w:w="2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13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520" w:type="dxa"/>
        <w:gridCol w:w="2060" w:type="dxa"/>
        <w:gridCol w:w="2340" w:type="dxa"/>
        <w:gridCol w:w="2320" w:type="dxa"/>
      </w:tblGrid>
      <w:tr>
        <w:trPr>
          <w:trHeight w:hRule="exact" w:val="228"/>
        </w:trPr>
        <w:tc>
          <w:tcPr>
            <w:tcW w:type="dxa" w:w="25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90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8405</w:t>
            </w:r>
          </w:p>
        </w:tc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0.49</w:t>
            </w:r>
          </w:p>
        </w:tc>
        <w:tc>
          <w:tcPr>
            <w:tcW w:type="dxa" w:w="2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8415</w:t>
            </w:r>
          </w:p>
        </w:tc>
        <w:tc>
          <w:tcPr>
            <w:tcW w:type="dxa" w:w="2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113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0.88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520" w:type="dxa"/>
        <w:gridCol w:w="2060" w:type="dxa"/>
        <w:gridCol w:w="2340" w:type="dxa"/>
        <w:gridCol w:w="2280" w:type="dxa"/>
      </w:tblGrid>
      <w:tr>
        <w:trPr>
          <w:trHeight w:hRule="exact" w:val="230"/>
        </w:trPr>
        <w:tc>
          <w:tcPr>
            <w:tcW w:type="dxa" w:w="25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90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8406</w:t>
            </w:r>
          </w:p>
        </w:tc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0.77</w:t>
            </w:r>
          </w:p>
        </w:tc>
        <w:tc>
          <w:tcPr>
            <w:tcW w:type="dxa" w:w="2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8416</w:t>
            </w:r>
          </w:p>
        </w:tc>
        <w:tc>
          <w:tcPr>
            <w:tcW w:type="dxa" w:w="22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17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520" w:type="dxa"/>
        <w:gridCol w:w="2060" w:type="dxa"/>
        <w:gridCol w:w="2340" w:type="dxa"/>
        <w:gridCol w:w="2280" w:type="dxa"/>
      </w:tblGrid>
      <w:tr>
        <w:trPr>
          <w:trHeight w:hRule="exact" w:val="178"/>
        </w:trPr>
        <w:tc>
          <w:tcPr>
            <w:tcW w:type="dxa" w:w="25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90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8407</w:t>
            </w:r>
          </w:p>
        </w:tc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0.26</w:t>
            </w:r>
          </w:p>
        </w:tc>
        <w:tc>
          <w:tcPr>
            <w:tcW w:type="dxa" w:w="2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8417</w:t>
            </w:r>
          </w:p>
        </w:tc>
        <w:tc>
          <w:tcPr>
            <w:tcW w:type="dxa" w:w="22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17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0.2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sectPr>
          <w:pgSz w:w="11906" w:h="15874"/>
          <w:pgMar w:top="240" w:right="240" w:bottom="118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1370330</wp:posOffset>
            </wp:positionV>
            <wp:extent cx="216408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>
                      <a:off x="0" y="0"/>
                      <a:ext cx="216408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3657600</wp:posOffset>
            </wp:positionH>
            <wp:positionV relativeFrom="page">
              <wp:posOffset>1221740</wp:posOffset>
            </wp:positionV>
            <wp:extent cx="2047239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2"/>
                    <a:stretch>
                      <a:fillRect/>
                    </a:stretch>
                  </pic:blipFill>
                  <pic:spPr>
                    <a:xfrm>
                      <a:off x="0" y="0"/>
                      <a:ext cx="2047239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3657600</wp:posOffset>
            </wp:positionH>
            <wp:positionV relativeFrom="page">
              <wp:posOffset>1370330</wp:posOffset>
            </wp:positionV>
            <wp:extent cx="2047239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2047239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5704840</wp:posOffset>
            </wp:positionH>
            <wp:positionV relativeFrom="page">
              <wp:posOffset>1221740</wp:posOffset>
            </wp:positionV>
            <wp:extent cx="36068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4"/>
                    <a:stretch>
                      <a:fillRect/>
                    </a:stretch>
                  </pic:blipFill>
                  <pic:spPr>
                    <a:xfrm>
                      <a:off x="0" y="0"/>
                      <a:ext cx="36068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5704840</wp:posOffset>
            </wp:positionH>
            <wp:positionV relativeFrom="page">
              <wp:posOffset>1370330</wp:posOffset>
            </wp:positionV>
            <wp:extent cx="36068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36068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1518920</wp:posOffset>
            </wp:positionV>
            <wp:extent cx="457200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1221740</wp:posOffset>
            </wp:positionV>
            <wp:extent cx="216408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6"/>
                    <a:stretch>
                      <a:fillRect/>
                    </a:stretch>
                  </pic:blipFill>
                  <pic:spPr>
                    <a:xfrm>
                      <a:off x="0" y="0"/>
                      <a:ext cx="216408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2260600</wp:posOffset>
            </wp:positionV>
            <wp:extent cx="457200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5077460</wp:posOffset>
            </wp:positionV>
            <wp:extent cx="457200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7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4552950</wp:posOffset>
            </wp:positionH>
            <wp:positionV relativeFrom="page">
              <wp:posOffset>1964689</wp:posOffset>
            </wp:positionV>
            <wp:extent cx="151257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1512570" cy="50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4552950</wp:posOffset>
            </wp:positionH>
            <wp:positionV relativeFrom="page">
              <wp:posOffset>2112010</wp:posOffset>
            </wp:positionV>
            <wp:extent cx="151257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8"/>
                    <a:stretch>
                      <a:fillRect/>
                    </a:stretch>
                  </pic:blipFill>
                  <pic:spPr>
                    <a:xfrm>
                      <a:off x="0" y="0"/>
                      <a:ext cx="151257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1964689</wp:posOffset>
            </wp:positionV>
            <wp:extent cx="305943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>
                      <a:off x="0" y="0"/>
                      <a:ext cx="3059430" cy="50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2112010</wp:posOffset>
            </wp:positionV>
            <wp:extent cx="298323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00"/>
                    <a:stretch>
                      <a:fillRect/>
                    </a:stretch>
                  </pic:blipFill>
                  <pic:spPr>
                    <a:xfrm>
                      <a:off x="0" y="0"/>
                      <a:ext cx="2983230" cy="5079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820" w:type="dxa"/>
        <w:gridCol w:w="402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7 of 18</w:t>
            </w:r>
          </w:p>
        </w:tc>
      </w:tr>
    </w:tbl>
    <w:p>
      <w:pPr>
        <w:autoSpaceDN w:val="0"/>
        <w:autoSpaceDE w:val="0"/>
        <w:widowControl/>
        <w:spacing w:line="170" w:lineRule="exact" w:before="834" w:after="28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8"/>
        </w:rPr>
        <w:t>Table 2</w:t>
      </w:r>
      <w:r>
        <w:rPr>
          <w:spacing w:val="-10"/>
          <w:rFonts w:ascii="MyriadPro" w:hAnsi="MyriadPro" w:eastAsia="MyriadPro"/>
          <w:color w:val="000000"/>
          <w:sz w:val="18"/>
        </w:rPr>
        <w:t xml:space="preserve"> Bartlett’s test of sphericity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840" w:type="dxa"/>
        <w:gridCol w:w="3320" w:type="dxa"/>
        <w:gridCol w:w="2920" w:type="dxa"/>
      </w:tblGrid>
      <w:tr>
        <w:trPr>
          <w:trHeight w:hRule="exact" w:val="246"/>
        </w:trPr>
        <w:tc>
          <w:tcPr>
            <w:tcW w:type="dxa" w:w="2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70" w:lineRule="exact" w:before="30" w:after="0"/>
              <w:ind w:left="0" w:right="1636" w:firstLine="0"/>
              <w:jc w:val="righ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χ²</w:t>
            </w:r>
          </w:p>
        </w:tc>
        <w:tc>
          <w:tcPr>
            <w:tcW w:type="dxa" w:w="3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6" w:lineRule="exact" w:before="50" w:after="0"/>
              <w:ind w:left="0" w:right="1536" w:firstLine="0"/>
              <w:jc w:val="righ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df</w:t>
            </w:r>
          </w:p>
        </w:tc>
        <w:tc>
          <w:tcPr>
            <w:tcW w:type="dxa" w:w="29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86" w:after="0"/>
              <w:ind w:left="0" w:right="1288" w:firstLine="0"/>
              <w:jc w:val="right"/>
            </w:pPr>
            <w:r>
              <w:rPr>
                <w:spacing w:val="-10"/>
                <w:rFonts w:ascii="MyriadPro" w:hAnsi="MyriadPro" w:eastAsia="MyriadPro"/>
                <w:b/>
                <w:i/>
                <w:color w:val="000000"/>
                <w:sz w:val="16"/>
              </w:rPr>
              <w:t>p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980" w:type="dxa"/>
        <w:gridCol w:w="3220" w:type="dxa"/>
        <w:gridCol w:w="3060" w:type="dxa"/>
      </w:tblGrid>
      <w:tr>
        <w:trPr>
          <w:trHeight w:hRule="exact" w:val="218"/>
        </w:trPr>
        <w:tc>
          <w:tcPr>
            <w:tcW w:type="dxa" w:w="2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50" w:after="0"/>
              <w:ind w:left="0" w:right="149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843.58</w:t>
            </w:r>
          </w:p>
        </w:tc>
        <w:tc>
          <w:tcPr>
            <w:tcW w:type="dxa" w:w="3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4" w:lineRule="exact" w:before="5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171</w:t>
            </w:r>
          </w:p>
        </w:tc>
        <w:tc>
          <w:tcPr>
            <w:tcW w:type="dxa" w:w="3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50" w:after="0"/>
              <w:ind w:left="0" w:right="110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&lt;0.001</w:t>
            </w:r>
          </w:p>
        </w:tc>
      </w:tr>
    </w:tbl>
    <w:p>
      <w:pPr>
        <w:autoSpaceDN w:val="0"/>
        <w:autoSpaceDE w:val="0"/>
        <w:widowControl/>
        <w:spacing w:line="168" w:lineRule="exact" w:before="51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8"/>
        </w:rPr>
        <w:t>Table 3</w:t>
      </w:r>
      <w:r>
        <w:rPr>
          <w:spacing w:val="-10"/>
          <w:rFonts w:ascii="MyriadPro" w:hAnsi="MyriadPro" w:eastAsia="MyriadPro"/>
          <w:color w:val="000000"/>
          <w:sz w:val="18"/>
        </w:rPr>
        <w:t xml:space="preserve"> Item reliability statistics</w:t>
      </w:r>
    </w:p>
    <w:p>
      <w:pPr>
        <w:autoSpaceDN w:val="0"/>
        <w:autoSpaceDE w:val="0"/>
        <w:widowControl/>
        <w:spacing w:line="148" w:lineRule="exact" w:before="78" w:after="44"/>
        <w:ind w:left="0" w:right="3420" w:firstLine="0"/>
        <w:jc w:val="right"/>
      </w:pPr>
      <w:r>
        <w:rPr>
          <w:spacing w:val="-10"/>
          <w:rFonts w:ascii="MyriadPro" w:hAnsi="MyriadPro" w:eastAsia="MyriadPro"/>
          <w:b/>
          <w:color w:val="000000"/>
          <w:sz w:val="16"/>
        </w:rPr>
        <w:t>If item dropped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540" w:type="dxa"/>
      </w:tblPr>
      <w:tblGrid>
        <w:gridCol w:w="2340" w:type="dxa"/>
        <w:gridCol w:w="880" w:type="dxa"/>
        <w:gridCol w:w="1940" w:type="dxa"/>
        <w:gridCol w:w="1320" w:type="dxa"/>
        <w:gridCol w:w="2280" w:type="dxa"/>
      </w:tblGrid>
      <w:tr>
        <w:trPr>
          <w:trHeight w:hRule="exact" w:val="220"/>
        </w:trPr>
        <w:tc>
          <w:tcPr>
            <w:tcW w:type="dxa" w:w="2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50" w:after="0"/>
              <w:ind w:left="0" w:right="388" w:firstLine="0"/>
              <w:jc w:val="righ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Mean</w:t>
            </w:r>
          </w:p>
        </w:tc>
        <w:tc>
          <w:tcPr>
            <w:tcW w:type="dxa" w:w="8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2" w:lineRule="exact" w:before="48" w:after="0"/>
              <w:ind w:left="0" w:right="284" w:firstLine="0"/>
              <w:jc w:val="righ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SD</w:t>
            </w:r>
          </w:p>
        </w:tc>
        <w:tc>
          <w:tcPr>
            <w:tcW w:type="dxa" w:w="1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6" w:lineRule="exact" w:before="44" w:after="0"/>
              <w:ind w:left="31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Item-rest correlation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6" w:lineRule="exact" w:before="44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Cronbach’s α</w:t>
            </w:r>
          </w:p>
        </w:tc>
        <w:tc>
          <w:tcPr>
            <w:tcW w:type="dxa" w:w="22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6" w:lineRule="exact" w:before="44" w:after="0"/>
              <w:ind w:left="2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McDonald’s ω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680" w:type="dxa"/>
        <w:gridCol w:w="1100" w:type="dxa"/>
        <w:gridCol w:w="980" w:type="dxa"/>
        <w:gridCol w:w="1320" w:type="dxa"/>
        <w:gridCol w:w="1600" w:type="dxa"/>
        <w:gridCol w:w="2240" w:type="dxa"/>
      </w:tblGrid>
      <w:tr>
        <w:trPr>
          <w:trHeight w:hRule="exact" w:val="230"/>
        </w:trPr>
        <w:tc>
          <w:tcPr>
            <w:tcW w:type="dxa" w:w="1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35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GPA</w:t>
            </w:r>
          </w:p>
        </w:tc>
        <w:tc>
          <w:tcPr>
            <w:tcW w:type="dxa" w:w="1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3.59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0.31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0.96</w:t>
            </w:r>
          </w:p>
        </w:tc>
        <w:tc>
          <w:tcPr>
            <w:tcW w:type="dxa" w:w="1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0.79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0.81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20" w:type="dxa"/>
        <w:gridCol w:w="1000" w:type="dxa"/>
        <w:gridCol w:w="980" w:type="dxa"/>
        <w:gridCol w:w="1240" w:type="dxa"/>
        <w:gridCol w:w="1640" w:type="dxa"/>
        <w:gridCol w:w="2240" w:type="dxa"/>
      </w:tblGrid>
      <w:tr>
        <w:trPr>
          <w:trHeight w:hRule="exact" w:val="232"/>
        </w:trPr>
        <w:tc>
          <w:tcPr>
            <w:tcW w:type="dxa" w:w="1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2" w:lineRule="exact" w:before="60" w:after="0"/>
              <w:ind w:left="0" w:right="23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CS 8406</w:t>
            </w:r>
          </w:p>
        </w:tc>
        <w:tc>
          <w:tcPr>
            <w:tcW w:type="dxa" w:w="10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4" w:after="0"/>
              <w:ind w:left="24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53.01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4" w:after="0"/>
              <w:ind w:left="0" w:right="21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12.91</w:t>
            </w:r>
          </w:p>
        </w:tc>
        <w:tc>
          <w:tcPr>
            <w:tcW w:type="dxa" w:w="1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4" w:after="0"/>
              <w:ind w:left="2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0.5</w:t>
            </w:r>
          </w:p>
        </w:tc>
        <w:tc>
          <w:tcPr>
            <w:tcW w:type="dxa" w:w="16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4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0.78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4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980" w:type="dxa"/>
        <w:gridCol w:w="940" w:type="dxa"/>
        <w:gridCol w:w="1320" w:type="dxa"/>
        <w:gridCol w:w="1600" w:type="dxa"/>
        <w:gridCol w:w="2240" w:type="dxa"/>
      </w:tblGrid>
      <w:tr>
        <w:trPr>
          <w:trHeight w:hRule="exact" w:val="228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2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8401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22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67.81</w:t>
            </w:r>
          </w:p>
        </w:tc>
        <w:tc>
          <w:tcPr>
            <w:tcW w:type="dxa" w:w="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6.41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0.66</w:t>
            </w:r>
          </w:p>
        </w:tc>
        <w:tc>
          <w:tcPr>
            <w:tcW w:type="dxa" w:w="1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0.77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0.83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20" w:type="dxa"/>
        <w:gridCol w:w="1000" w:type="dxa"/>
        <w:gridCol w:w="740" w:type="dxa"/>
        <w:gridCol w:w="1320" w:type="dxa"/>
        <w:gridCol w:w="1600" w:type="dxa"/>
        <w:gridCol w:w="2240" w:type="dxa"/>
      </w:tblGrid>
      <w:tr>
        <w:trPr>
          <w:trHeight w:hRule="exact" w:val="230"/>
        </w:trPr>
        <w:tc>
          <w:tcPr>
            <w:tcW w:type="dxa" w:w="2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40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8402</w:t>
            </w:r>
          </w:p>
        </w:tc>
        <w:tc>
          <w:tcPr>
            <w:tcW w:type="dxa" w:w="10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2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65.03</w:t>
            </w:r>
          </w:p>
        </w:tc>
        <w:tc>
          <w:tcPr>
            <w:tcW w:type="dxa" w:w="7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8.85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0.51</w:t>
            </w:r>
          </w:p>
        </w:tc>
        <w:tc>
          <w:tcPr>
            <w:tcW w:type="dxa" w:w="1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0.77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940" w:type="dxa"/>
        <w:gridCol w:w="980" w:type="dxa"/>
        <w:gridCol w:w="1320" w:type="dxa"/>
        <w:gridCol w:w="1600" w:type="dxa"/>
        <w:gridCol w:w="2240" w:type="dxa"/>
      </w:tblGrid>
      <w:tr>
        <w:trPr>
          <w:trHeight w:hRule="exact" w:val="230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2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8403</w:t>
            </w:r>
          </w:p>
        </w:tc>
        <w:tc>
          <w:tcPr>
            <w:tcW w:type="dxa" w:w="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2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63.5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9.24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0.39</w:t>
            </w:r>
          </w:p>
        </w:tc>
        <w:tc>
          <w:tcPr>
            <w:tcW w:type="dxa" w:w="1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0.78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980" w:type="dxa"/>
        <w:gridCol w:w="940" w:type="dxa"/>
        <w:gridCol w:w="1320" w:type="dxa"/>
        <w:gridCol w:w="1600" w:type="dxa"/>
        <w:gridCol w:w="2240" w:type="dxa"/>
      </w:tblGrid>
      <w:tr>
        <w:trPr>
          <w:trHeight w:hRule="exact" w:val="230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2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8404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22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62.51</w:t>
            </w:r>
          </w:p>
        </w:tc>
        <w:tc>
          <w:tcPr>
            <w:tcW w:type="dxa" w:w="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7.06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0.33</w:t>
            </w:r>
          </w:p>
        </w:tc>
        <w:tc>
          <w:tcPr>
            <w:tcW w:type="dxa" w:w="1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0.79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0.85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980" w:type="dxa"/>
        <w:gridCol w:w="940" w:type="dxa"/>
        <w:gridCol w:w="1320" w:type="dxa"/>
        <w:gridCol w:w="1600" w:type="dxa"/>
        <w:gridCol w:w="2240" w:type="dxa"/>
      </w:tblGrid>
      <w:tr>
        <w:trPr>
          <w:trHeight w:hRule="exact" w:val="230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2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8405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2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58.48</w:t>
            </w:r>
          </w:p>
        </w:tc>
        <w:tc>
          <w:tcPr>
            <w:tcW w:type="dxa" w:w="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7.06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0.33</w:t>
            </w:r>
          </w:p>
        </w:tc>
        <w:tc>
          <w:tcPr>
            <w:tcW w:type="dxa" w:w="1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0.78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0.85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980" w:type="dxa"/>
        <w:gridCol w:w="940" w:type="dxa"/>
        <w:gridCol w:w="1320" w:type="dxa"/>
        <w:gridCol w:w="1600" w:type="dxa"/>
        <w:gridCol w:w="2240" w:type="dxa"/>
      </w:tblGrid>
      <w:tr>
        <w:trPr>
          <w:trHeight w:hRule="exact" w:val="230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2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8406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2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58.11</w:t>
            </w:r>
          </w:p>
        </w:tc>
        <w:tc>
          <w:tcPr>
            <w:tcW w:type="dxa" w:w="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5.62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0.49</w:t>
            </w:r>
          </w:p>
        </w:tc>
        <w:tc>
          <w:tcPr>
            <w:tcW w:type="dxa" w:w="1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0.78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940" w:type="dxa"/>
        <w:gridCol w:w="980" w:type="dxa"/>
        <w:gridCol w:w="1320" w:type="dxa"/>
        <w:gridCol w:w="1560" w:type="dxa"/>
        <w:gridCol w:w="2280" w:type="dxa"/>
      </w:tblGrid>
      <w:tr>
        <w:trPr>
          <w:trHeight w:hRule="exact" w:val="230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2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8407</w:t>
            </w:r>
          </w:p>
        </w:tc>
        <w:tc>
          <w:tcPr>
            <w:tcW w:type="dxa" w:w="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2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72.4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6.06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0.12</w:t>
            </w:r>
          </w:p>
        </w:tc>
        <w:tc>
          <w:tcPr>
            <w:tcW w:type="dxa" w:w="15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56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</w:t>
            </w:r>
          </w:p>
        </w:tc>
        <w:tc>
          <w:tcPr>
            <w:tcW w:type="dxa" w:w="22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44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0.85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980" w:type="dxa"/>
        <w:gridCol w:w="940" w:type="dxa"/>
        <w:gridCol w:w="1340" w:type="dxa"/>
        <w:gridCol w:w="1580" w:type="dxa"/>
        <w:gridCol w:w="2240" w:type="dxa"/>
      </w:tblGrid>
      <w:tr>
        <w:trPr>
          <w:trHeight w:hRule="exact" w:val="230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2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8408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2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77.82</w:t>
            </w:r>
          </w:p>
        </w:tc>
        <w:tc>
          <w:tcPr>
            <w:tcW w:type="dxa" w:w="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7.72</w:t>
            </w:r>
          </w:p>
        </w:tc>
        <w:tc>
          <w:tcPr>
            <w:tcW w:type="dxa" w:w="1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-0.21</w:t>
            </w:r>
          </w:p>
        </w:tc>
        <w:tc>
          <w:tcPr>
            <w:tcW w:type="dxa" w:w="15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0.82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0.86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940" w:type="dxa"/>
        <w:gridCol w:w="980" w:type="dxa"/>
        <w:gridCol w:w="1320" w:type="dxa"/>
        <w:gridCol w:w="1600" w:type="dxa"/>
        <w:gridCol w:w="2240" w:type="dxa"/>
      </w:tblGrid>
      <w:tr>
        <w:trPr>
          <w:trHeight w:hRule="exact" w:val="230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2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8409</w:t>
            </w:r>
          </w:p>
        </w:tc>
        <w:tc>
          <w:tcPr>
            <w:tcW w:type="dxa" w:w="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2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66.9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6.85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0.52</w:t>
            </w:r>
          </w:p>
        </w:tc>
        <w:tc>
          <w:tcPr>
            <w:tcW w:type="dxa" w:w="1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0.77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980" w:type="dxa"/>
        <w:gridCol w:w="940" w:type="dxa"/>
        <w:gridCol w:w="1320" w:type="dxa"/>
        <w:gridCol w:w="1600" w:type="dxa"/>
        <w:gridCol w:w="2240" w:type="dxa"/>
      </w:tblGrid>
      <w:tr>
        <w:trPr>
          <w:trHeight w:hRule="exact" w:val="230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2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8410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2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70.56</w:t>
            </w:r>
          </w:p>
        </w:tc>
        <w:tc>
          <w:tcPr>
            <w:tcW w:type="dxa" w:w="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6.15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0.39</w:t>
            </w:r>
          </w:p>
        </w:tc>
        <w:tc>
          <w:tcPr>
            <w:tcW w:type="dxa" w:w="1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0.78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940" w:type="dxa"/>
        <w:gridCol w:w="980" w:type="dxa"/>
        <w:gridCol w:w="1320" w:type="dxa"/>
        <w:gridCol w:w="1600" w:type="dxa"/>
        <w:gridCol w:w="2240" w:type="dxa"/>
      </w:tblGrid>
      <w:tr>
        <w:trPr>
          <w:trHeight w:hRule="exact" w:val="228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2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8411</w:t>
            </w:r>
          </w:p>
        </w:tc>
        <w:tc>
          <w:tcPr>
            <w:tcW w:type="dxa" w:w="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22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65.6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8.77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0.49</w:t>
            </w:r>
          </w:p>
        </w:tc>
        <w:tc>
          <w:tcPr>
            <w:tcW w:type="dxa" w:w="1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0.77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980" w:type="dxa"/>
        <w:gridCol w:w="940" w:type="dxa"/>
        <w:gridCol w:w="1280" w:type="dxa"/>
        <w:gridCol w:w="1640" w:type="dxa"/>
        <w:gridCol w:w="2240" w:type="dxa"/>
      </w:tblGrid>
      <w:tr>
        <w:trPr>
          <w:trHeight w:hRule="exact" w:val="230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2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8412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2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53.78</w:t>
            </w:r>
          </w:p>
        </w:tc>
        <w:tc>
          <w:tcPr>
            <w:tcW w:type="dxa" w:w="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3.64</w:t>
            </w:r>
          </w:p>
        </w:tc>
        <w:tc>
          <w:tcPr>
            <w:tcW w:type="dxa" w:w="12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0.3</w:t>
            </w:r>
          </w:p>
        </w:tc>
        <w:tc>
          <w:tcPr>
            <w:tcW w:type="dxa" w:w="16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0.79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0.85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980" w:type="dxa"/>
        <w:gridCol w:w="940" w:type="dxa"/>
        <w:gridCol w:w="1320" w:type="dxa"/>
        <w:gridCol w:w="1600" w:type="dxa"/>
        <w:gridCol w:w="2240" w:type="dxa"/>
      </w:tblGrid>
      <w:tr>
        <w:trPr>
          <w:trHeight w:hRule="exact" w:val="230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2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8413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2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63.63</w:t>
            </w:r>
          </w:p>
        </w:tc>
        <w:tc>
          <w:tcPr>
            <w:tcW w:type="dxa" w:w="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6.97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0.47</w:t>
            </w:r>
          </w:p>
        </w:tc>
        <w:tc>
          <w:tcPr>
            <w:tcW w:type="dxa" w:w="1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0.78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980" w:type="dxa"/>
        <w:gridCol w:w="940" w:type="dxa"/>
        <w:gridCol w:w="1320" w:type="dxa"/>
        <w:gridCol w:w="1600" w:type="dxa"/>
        <w:gridCol w:w="2240" w:type="dxa"/>
      </w:tblGrid>
      <w:tr>
        <w:trPr>
          <w:trHeight w:hRule="exact" w:val="228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2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8414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22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68.93</w:t>
            </w:r>
          </w:p>
        </w:tc>
        <w:tc>
          <w:tcPr>
            <w:tcW w:type="dxa" w:w="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6.83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0.48</w:t>
            </w:r>
          </w:p>
        </w:tc>
        <w:tc>
          <w:tcPr>
            <w:tcW w:type="dxa" w:w="1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0.78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980" w:type="dxa"/>
        <w:gridCol w:w="940" w:type="dxa"/>
        <w:gridCol w:w="1320" w:type="dxa"/>
        <w:gridCol w:w="1600" w:type="dxa"/>
        <w:gridCol w:w="2240" w:type="dxa"/>
      </w:tblGrid>
      <w:tr>
        <w:trPr>
          <w:trHeight w:hRule="exact" w:val="230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2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8415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2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58.73</w:t>
            </w:r>
          </w:p>
        </w:tc>
        <w:tc>
          <w:tcPr>
            <w:tcW w:type="dxa" w:w="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7.01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0.57</w:t>
            </w:r>
          </w:p>
        </w:tc>
        <w:tc>
          <w:tcPr>
            <w:tcW w:type="dxa" w:w="1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0.77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0.83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980" w:type="dxa"/>
        <w:gridCol w:w="940" w:type="dxa"/>
        <w:gridCol w:w="1320" w:type="dxa"/>
        <w:gridCol w:w="1600" w:type="dxa"/>
        <w:gridCol w:w="2240" w:type="dxa"/>
      </w:tblGrid>
      <w:tr>
        <w:trPr>
          <w:trHeight w:hRule="exact" w:val="230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2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8416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2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61.82</w:t>
            </w:r>
          </w:p>
        </w:tc>
        <w:tc>
          <w:tcPr>
            <w:tcW w:type="dxa" w:w="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6.49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0.39</w:t>
            </w:r>
          </w:p>
        </w:tc>
        <w:tc>
          <w:tcPr>
            <w:tcW w:type="dxa" w:w="1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0.78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980" w:type="dxa"/>
        <w:gridCol w:w="940" w:type="dxa"/>
        <w:gridCol w:w="1320" w:type="dxa"/>
        <w:gridCol w:w="1600" w:type="dxa"/>
        <w:gridCol w:w="2240" w:type="dxa"/>
      </w:tblGrid>
      <w:tr>
        <w:trPr>
          <w:trHeight w:hRule="exact" w:val="230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2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8417</w:t>
            </w:r>
          </w:p>
        </w:tc>
        <w:tc>
          <w:tcPr>
            <w:tcW w:type="dxa" w:w="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22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64.16</w:t>
            </w:r>
          </w:p>
        </w:tc>
        <w:tc>
          <w:tcPr>
            <w:tcW w:type="dxa" w:w="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6.39</w:t>
            </w:r>
          </w:p>
        </w:tc>
        <w:tc>
          <w:tcPr>
            <w:tcW w:type="dxa" w:w="1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27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0.15</w:t>
            </w:r>
          </w:p>
        </w:tc>
        <w:tc>
          <w:tcPr>
            <w:tcW w:type="dxa" w:w="1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5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0.79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53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0.85</w:t>
            </w:r>
          </w:p>
        </w:tc>
      </w:tr>
    </w:tbl>
    <w:p>
      <w:pPr>
        <w:autoSpaceDN w:val="0"/>
        <w:autoSpaceDE w:val="0"/>
        <w:widowControl/>
        <w:spacing w:line="282" w:lineRule="exact" w:before="202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These low-MSA variables may introduce noise or distortions in the PCA and should be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reviewed for possible exclusion or reconsideration in model refinement [</w:t>
      </w:r>
      <w:hyperlink r:id="rId74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7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This mix</w:t>
      </w:r>
    </w:p>
    <w:p>
      <w:pPr>
        <w:autoSpaceDN w:val="0"/>
        <w:autoSpaceDE w:val="0"/>
        <w:widowControl/>
        <w:spacing w:line="188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of adequate and poor MSA values highlights the need for careful variable selection to</w:t>
      </w:r>
    </w:p>
    <w:p>
      <w:pPr>
        <w:autoSpaceDN w:val="0"/>
        <w:autoSpaceDE w:val="0"/>
        <w:widowControl/>
        <w:spacing w:line="186" w:lineRule="exact" w:before="96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enhance the interpretability and validity of PCA results.</w:t>
      </w:r>
    </w:p>
    <w:p>
      <w:pPr>
        <w:autoSpaceDN w:val="0"/>
        <w:autoSpaceDE w:val="0"/>
        <w:widowControl/>
        <w:spacing w:line="188" w:lineRule="exact" w:before="96" w:after="0"/>
        <w:ind w:left="227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Bartlett’s Test of Sphericity was conducted to evaluate whether the correlation matrix</w:t>
      </w:r>
    </w:p>
    <w:p>
      <w:pPr>
        <w:autoSpaceDN w:val="0"/>
        <w:autoSpaceDE w:val="0"/>
        <w:widowControl/>
        <w:spacing w:line="290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significantly deviates from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 identity matrix, thus determining the dataset’s suitability</w:t>
      </w:r>
    </w:p>
    <w:p>
      <w:pPr>
        <w:autoSpaceDN w:val="0"/>
        <w:autoSpaceDE w:val="0"/>
        <w:widowControl/>
        <w:spacing w:line="200" w:lineRule="exact" w:before="2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for factor analysis. Table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87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shows that the test yielded a chi-square value of χ² (171) =</w:t>
      </w:r>
    </w:p>
    <w:p>
      <w:pPr>
        <w:autoSpaceDN w:val="0"/>
        <w:autoSpaceDE w:val="0"/>
        <w:widowControl/>
        <w:spacing w:line="284" w:lineRule="exact" w:before="54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843.58, with a p-value of less than 0.001, indicating strong statistical significance. This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result confirms the presence of sufficient intercorrelations among the variables, validat­</w:t>
      </w:r>
    </w:p>
    <w:p>
      <w:pPr>
        <w:autoSpaceDN w:val="0"/>
        <w:autoSpaceDE w:val="0"/>
        <w:widowControl/>
        <w:spacing w:line="190" w:lineRule="exact" w:before="3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ing the use of Principal Component Analysis (PCA) for dimensionality reduction and</w:t>
      </w:r>
    </w:p>
    <w:p>
      <w:pPr>
        <w:autoSpaceDN w:val="0"/>
        <w:autoSpaceDE w:val="0"/>
        <w:widowControl/>
        <w:spacing w:line="282" w:lineRule="exact" w:before="58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pattern recognition [</w:t>
      </w:r>
      <w:hyperlink r:id="rId76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The test outcome aligns with established guidelines, which rec­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ommend proceeding with PCA when Bartlett’s test is significant, ensuring that the data</w:t>
      </w:r>
    </w:p>
    <w:p>
      <w:pPr>
        <w:autoSpaceDN w:val="0"/>
        <w:autoSpaceDE w:val="0"/>
        <w:widowControl/>
        <w:spacing w:line="188" w:lineRule="exact" w:before="4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structure is appropriate for extracting meaningful components.</w:t>
      </w:r>
    </w:p>
    <w:p>
      <w:pPr>
        <w:autoSpaceDN w:val="0"/>
        <w:autoSpaceDE w:val="0"/>
        <w:widowControl/>
        <w:spacing w:line="174" w:lineRule="exact" w:before="384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4.2 It</w:t>
      </w:r>
      <w:hyperlink r:id="rId88" w:history="1">
        <w:r>
          <w:rPr>
            <w:rStyle w:val="Hyperlink"/>
            <w:rFonts w:ascii="MyriadPro" w:hAnsi="MyriadPro" w:eastAsia="MyriadPro" w:cs="MyriadPro"/>
            <w:sz w:val="18.399999618530273"/>
            <w:b/>
            <w:color w:val="000000"/>
            <w:w w:val="102.22222010294597"/>
            <w:spacing w:val="-10"/>
          </w:rPr>
          <w:t>e</w:t>
        </w:r>
      </w:hyperlink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m reliability analysis of academic performance indicators</w:t>
      </w:r>
    </w:p>
    <w:p>
      <w:pPr>
        <w:autoSpaceDN w:val="0"/>
        <w:autoSpaceDE w:val="0"/>
        <w:widowControl/>
        <w:spacing w:line="186" w:lineRule="exact" w:before="10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Table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88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presents the item reliability analysis, which demonstrates strong internal consis­</w:t>
      </w:r>
    </w:p>
    <w:p>
      <w:pPr>
        <w:autoSpaceDN w:val="0"/>
        <w:autoSpaceDE w:val="0"/>
        <w:widowControl/>
        <w:spacing w:line="188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tency among the performance indicators, with Cronbach’s alpha of 0.79 and McDonald’s</w:t>
      </w:r>
    </w:p>
    <w:p>
      <w:pPr>
        <w:autoSpaceDN w:val="0"/>
        <w:autoSpaceDE w:val="0"/>
        <w:widowControl/>
        <w:spacing w:line="186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omega approximating 0.84</w:t>
      </w:r>
      <w:hyperlink r:id="rId89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–0.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8</w:t>
      </w:r>
      <w:hyperlink r:id="rId90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5,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indicating that the composite scale cohesively mea­</w:t>
      </w:r>
    </w:p>
    <w:p>
      <w:pPr>
        <w:autoSpaceDN w:val="0"/>
        <w:autoSpaceDE w:val="0"/>
        <w:widowControl/>
        <w:spacing w:line="188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sures student performance [</w:t>
      </w:r>
      <w:hyperlink r:id="rId89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17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,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9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26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GPA emerged as the most internally consistent item,</w:t>
      </w:r>
    </w:p>
    <w:p>
      <w:pPr>
        <w:autoSpaceDN w:val="0"/>
        <w:autoSpaceDE w:val="0"/>
        <w:widowControl/>
        <w:spacing w:line="290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with a remarkably high item–rest correlation of 0.96, confirming its value as a robust</w:t>
      </w:r>
    </w:p>
    <w:p>
      <w:pPr>
        <w:autoSpaceDN w:val="0"/>
        <w:autoSpaceDE w:val="0"/>
        <w:widowControl/>
        <w:spacing w:line="188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summary measure of performance. Courses such as ME 8401 and ME 8415 also made</w:t>
      </w:r>
    </w:p>
    <w:p>
      <w:pPr>
        <w:autoSpaceDN w:val="0"/>
        <w:autoSpaceDE w:val="0"/>
        <w:widowControl/>
        <w:spacing w:line="186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notable contributions, with item–rest correlations of 0.66 and 0.57, respectively, indicat­</w:t>
      </w:r>
    </w:p>
    <w:p>
      <w:pPr>
        <w:autoSpaceDN w:val="0"/>
        <w:autoSpaceDE w:val="0"/>
        <w:widowControl/>
        <w:spacing w:line="188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ing strong alignment with the underlying competency construct. In contrast, ME 8407</w:t>
      </w:r>
    </w:p>
    <w:p>
      <w:pPr>
        <w:sectPr>
          <w:pgSz w:w="11906" w:h="15874"/>
          <w:pgMar w:top="240" w:right="240" w:bottom="122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1619250</wp:posOffset>
            </wp:positionH>
            <wp:positionV relativeFrom="page">
              <wp:posOffset>6375400</wp:posOffset>
            </wp:positionV>
            <wp:extent cx="4324350" cy="27305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04"/>
                    <a:stretch>
                      <a:fillRect/>
                    </a:stretch>
                  </pic:blipFill>
                  <pic:spPr>
                    <a:xfrm>
                      <a:off x="0" y="0"/>
                      <a:ext cx="4324350" cy="273050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820" w:type="dxa"/>
        <w:gridCol w:w="402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8 of 18</w:t>
            </w:r>
          </w:p>
        </w:tc>
      </w:tr>
    </w:tbl>
    <w:p>
      <w:pPr>
        <w:autoSpaceDN w:val="0"/>
        <w:autoSpaceDE w:val="0"/>
        <w:widowControl/>
        <w:spacing w:line="190" w:lineRule="exact" w:before="77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ME 8408 exhibited weak or negative item–rest correlations (0.12 and –0.21), which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may reflect misalignment with the composite construct or inconsistent assessment prac­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tices. Indeed, the slight increase in Cronbach’s alpha upon removal of ME 8408 further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identifies it as a potential detractor in scale reliability [</w:t>
      </w:r>
      <w:hyperlink r:id="rId101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Additionally, items like ME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8417 and ME 8412, which have low item–rest correlations and a minimal effect on alpha</w:t>
      </w:r>
    </w:p>
    <w:p>
      <w:pPr>
        <w:autoSpaceDN w:val="0"/>
        <w:autoSpaceDE w:val="0"/>
        <w:widowControl/>
        <w:spacing w:line="292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if removed, offer limited discriminative utility and may warrant further review of their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inclusion in the curriculum or assessment. Overall, these findings un</w:t>
      </w:r>
      <w:hyperlink r:id="rId102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de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rscore the impor­</w:t>
      </w:r>
    </w:p>
    <w:p>
      <w:pPr>
        <w:autoSpaceDN w:val="0"/>
        <w:autoSpaceDE w:val="0"/>
        <w:widowControl/>
        <w:spacing w:line="186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tance of reliability analysis—not only to validate measurement tools [</w:t>
      </w:r>
      <w:hyperlink r:id="rId102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18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but also to pin­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point specific course elements that may benefit from targeted pedagogical or evaluative</w:t>
      </w:r>
    </w:p>
    <w:p>
      <w:pPr>
        <w:autoSpaceDN w:val="0"/>
        <w:autoSpaceDE w:val="0"/>
        <w:widowControl/>
        <w:spacing w:line="142" w:lineRule="exact" w:before="4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enhancements.</w:t>
      </w:r>
    </w:p>
    <w:p>
      <w:pPr>
        <w:autoSpaceDN w:val="0"/>
        <w:autoSpaceDE w:val="0"/>
        <w:widowControl/>
        <w:spacing w:line="174" w:lineRule="exact" w:before="430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4.3 Exploratory analysis of performance patterns</w:t>
      </w:r>
    </w:p>
    <w:p>
      <w:pPr>
        <w:autoSpaceDN w:val="0"/>
        <w:autoSpaceDE w:val="0"/>
        <w:widowControl/>
        <w:spacing w:line="188" w:lineRule="exact" w:before="102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Understanding how students perform across various academic indicators is essen­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tial for identifying strengths, weaknesses, and hidden trends that may influence over­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all educational outcomes. This section presents an exploratory analysis of mechanical</w:t>
      </w:r>
    </w:p>
    <w:p>
      <w:pPr>
        <w:autoSpaceDN w:val="0"/>
        <w:autoSpaceDE w:val="0"/>
        <w:widowControl/>
        <w:spacing w:line="186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engineering students’ performance, utilising descriptive statistics, correlation matrices,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visual tools, including scatterplots. The goal is to generate preliminary insights that</w:t>
      </w:r>
    </w:p>
    <w:p>
      <w:pPr>
        <w:autoSpaceDN w:val="0"/>
        <w:autoSpaceDE w:val="0"/>
        <w:widowControl/>
        <w:spacing w:line="292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inform further statistical modelling and guide curriculum development efforts in align­</w:t>
      </w:r>
    </w:p>
    <w:p>
      <w:pPr>
        <w:autoSpaceDN w:val="0"/>
        <w:autoSpaceDE w:val="0"/>
        <w:widowControl/>
        <w:spacing w:line="188" w:lineRule="exact" w:before="38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ment with Tanzania’s industrial transformation agenda.</w:t>
      </w:r>
    </w:p>
    <w:p>
      <w:pPr>
        <w:autoSpaceDN w:val="0"/>
        <w:autoSpaceDE w:val="0"/>
        <w:widowControl/>
        <w:spacing w:line="134" w:lineRule="exact" w:before="386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4.4 Distributions and central tendencies of students’academic scores</w:t>
      </w:r>
    </w:p>
    <w:p>
      <w:pPr>
        <w:autoSpaceDN w:val="0"/>
        <w:autoSpaceDE w:val="0"/>
        <w:widowControl/>
        <w:spacing w:line="186" w:lineRule="exact" w:before="142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To establish a foundational understanding of student performance, this section pres­</w:t>
      </w:r>
    </w:p>
    <w:p>
      <w:pPr>
        <w:autoSpaceDN w:val="0"/>
        <w:autoSpaceDE w:val="0"/>
        <w:widowControl/>
        <w:spacing w:line="188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ents descriptive statistics and normality assessments across core mechanical engineer­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ing courses and overall GPA. These summary metrics not only offer insights into central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tendencies and variability but also help identify data distributions suitable for multivari­</w:t>
      </w:r>
    </w:p>
    <w:p>
      <w:pPr>
        <w:autoSpaceDN w:val="0"/>
        <w:autoSpaceDE w:val="0"/>
        <w:widowControl/>
        <w:spacing w:line="184" w:lineRule="exact" w:before="96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ate techn</w:t>
      </w:r>
      <w:hyperlink r:id="rId103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i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ques.</w:t>
      </w:r>
    </w:p>
    <w:p>
      <w:pPr>
        <w:autoSpaceDN w:val="0"/>
        <w:autoSpaceDE w:val="0"/>
        <w:widowControl/>
        <w:spacing w:line="188" w:lineRule="exact" w:before="98" w:after="0"/>
        <w:ind w:left="227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Figure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103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provides graphical descriptive statistics and normality tests for students’ per­</w:t>
      </w:r>
    </w:p>
    <w:p>
      <w:pPr>
        <w:autoSpaceDN w:val="0"/>
        <w:autoSpaceDE w:val="0"/>
        <w:widowControl/>
        <w:spacing w:line="142" w:lineRule="exact" w:before="96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formance across various courses and the overall GPA.</w:t>
      </w:r>
    </w:p>
    <w:p>
      <w:pPr>
        <w:autoSpaceDN w:val="0"/>
        <w:autoSpaceDE w:val="0"/>
        <w:widowControl/>
        <w:spacing w:line="150" w:lineRule="exact" w:before="511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6"/>
        </w:rPr>
        <w:t>Fig. 2</w:t>
      </w:r>
      <w:r>
        <w:rPr>
          <w:spacing w:val="-10"/>
          <w:rFonts w:ascii="MyriadPro" w:hAnsi="MyriadPro" w:eastAsia="MyriadPro"/>
          <w:color w:val="000000"/>
          <w:sz w:val="16"/>
        </w:rPr>
        <w:t xml:space="preserve"> Descriptive statistics of the students’performance</w:t>
      </w:r>
    </w:p>
    <w:p>
      <w:pPr>
        <w:sectPr>
          <w:pgSz w:w="11906" w:h="15874"/>
          <w:pgMar w:top="240" w:right="240" w:bottom="114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820" w:type="dxa"/>
        <w:gridCol w:w="402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8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9 of 18</w:t>
            </w:r>
          </w:p>
        </w:tc>
      </w:tr>
    </w:tbl>
    <w:p>
      <w:pPr>
        <w:autoSpaceDN w:val="0"/>
        <w:autoSpaceDE w:val="0"/>
        <w:widowControl/>
        <w:spacing w:line="170" w:lineRule="exact" w:before="780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4.5 Central tendency</w:t>
      </w:r>
    </w:p>
    <w:p>
      <w:pPr>
        <w:autoSpaceDN w:val="0"/>
        <w:autoSpaceDE w:val="0"/>
        <w:widowControl/>
        <w:spacing w:line="292" w:lineRule="exact" w:before="5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mean and median values are used to represent the central tendency of scores for</w:t>
      </w:r>
    </w:p>
    <w:p>
      <w:pPr>
        <w:autoSpaceDN w:val="0"/>
        <w:autoSpaceDE w:val="0"/>
        <w:widowControl/>
        <w:spacing w:line="264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each course and the overall GPA. When these two measures are closely aligned, as is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typically the case in most courses, it suggests that the distribution of scores is approxi­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mately symmetrical. For instance, ME 8414 shows a mean of 66.07 and a median of 66,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indicating minimal skew in the data. This alignment implies that the distribution is not</w:t>
      </w:r>
    </w:p>
    <w:p>
      <w:pPr>
        <w:autoSpaceDN w:val="0"/>
        <w:autoSpaceDE w:val="0"/>
        <w:widowControl/>
        <w:spacing w:line="254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heavily skewed toward highe</w:t>
      </w:r>
      <w:hyperlink r:id="rId75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 xml:space="preserve">r 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or lower scores, making it suitable for parametric analy­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sis. According to Hair et al. [</w:t>
      </w:r>
      <w:hyperlink r:id="rId75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9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when the skewness statistic falls between −1 and + 1,</w:t>
      </w:r>
    </w:p>
    <w:p>
      <w:pPr>
        <w:autoSpaceDN w:val="0"/>
        <w:autoSpaceDE w:val="0"/>
        <w:widowControl/>
        <w:spacing w:line="282" w:lineRule="exact" w:before="58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the data distribution is considered approximately normal. The skewness for ME 8414 is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0.11, which confirms that the data is only mildly right-skewed and thus approximately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normal. This interpretation is further supported by the Shapiro-Wilk test, which yields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 p-value of 0.253 for ME 8414, indicating no significant deviation from normality at the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0.05 level. Together, these findings suggest that the data for most courses is reasonably</w:t>
      </w:r>
    </w:p>
    <w:p>
      <w:pPr>
        <w:autoSpaceDN w:val="0"/>
        <w:autoSpaceDE w:val="0"/>
        <w:widowControl/>
        <w:spacing w:line="254" w:lineRule="exact" w:before="0" w:after="0"/>
        <w:ind w:left="2112" w:right="2016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well-behaved statistically, supporting the appropriateness of subsequent multivariate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techniques such as PCA.</w:t>
      </w:r>
    </w:p>
    <w:p>
      <w:pPr>
        <w:autoSpaceDN w:val="0"/>
        <w:autoSpaceDE w:val="0"/>
        <w:widowControl/>
        <w:spacing w:line="166" w:lineRule="exact" w:before="392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4.6 Spread</w:t>
      </w:r>
    </w:p>
    <w:p>
      <w:pPr>
        <w:autoSpaceDN w:val="0"/>
        <w:autoSpaceDE w:val="0"/>
        <w:widowControl/>
        <w:spacing w:line="282" w:lineRule="exact" w:before="7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The standard deviation and variance provide insights into the degree of variability in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student performance across different courses. A higher standard deviation and variance</w:t>
      </w:r>
    </w:p>
    <w:p>
      <w:pPr>
        <w:autoSpaceDN w:val="0"/>
        <w:autoSpaceDE w:val="0"/>
        <w:widowControl/>
        <w:spacing w:line="256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indicate greater dispersion in scores, meaning students performed more unevenly in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that subject. For example, CS 8406 exhibited the highest variability (SD = 12.91, vari­</w:t>
      </w:r>
    </w:p>
    <w:p>
      <w:pPr>
        <w:autoSpaceDN w:val="0"/>
        <w:autoSpaceDE w:val="0"/>
        <w:widowControl/>
        <w:spacing w:line="282" w:lineRule="exact" w:before="58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ance = 166.55), suggesting that while some students excelled, others struggled signifi­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cantly, possibly reflecting differences in prior exposure to computing or inconsistencies</w:t>
      </w:r>
    </w:p>
    <w:p>
      <w:pPr>
        <w:autoSpaceDN w:val="0"/>
        <w:autoSpaceDE w:val="0"/>
        <w:widowControl/>
        <w:spacing w:line="264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in instructional delivery. In contrast, ME 8401 exhibited much lower variability (SD =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6.41, variance = 41.12), indicating a more uniform understanding or assessment struc­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ture among students. Notably, GPA showed the lowest variability (SD = 0.31, variance =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0.10), suggesting that overall student performance was relatively consistent. This narrow</w:t>
      </w:r>
    </w:p>
    <w:p>
      <w:pPr>
        <w:autoSpaceDN w:val="0"/>
        <w:autoSpaceDE w:val="0"/>
        <w:widowControl/>
        <w:spacing w:line="264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spread could imply standardisation in grading across courses or a generally ho</w:t>
      </w:r>
      <w:hyperlink r:id="rId71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m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ogenous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student cohort in terms of academic ability. According to Abdi and Williams [</w:t>
      </w:r>
      <w:hyperlink r:id="rId71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under­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standing variability is essential for interpreting multivariate patterns because variables</w:t>
      </w:r>
    </w:p>
    <w:p>
      <w:pPr>
        <w:autoSpaceDN w:val="0"/>
        <w:autoSpaceDE w:val="0"/>
        <w:widowControl/>
        <w:spacing w:line="284" w:lineRule="exact" w:before="56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with high dispersion often exert a disproportionate influence on dimensionality reduc­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tion techniques, such as PCA. Therefore, identifying courses with high variance (e.g., CS</w:t>
      </w:r>
    </w:p>
    <w:p>
      <w:pPr>
        <w:autoSpaceDN w:val="0"/>
        <w:autoSpaceDE w:val="0"/>
        <w:widowControl/>
        <w:spacing w:line="268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8406) is important not only for pedagogical review but also for ensuring balanced inputs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in statistical modelling. Moreover, low-variability measures such as GPA may serve as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stable outcome indicators in predictive models, but may contribute less to identifying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latent groupings due to their limited spread.</w:t>
      </w:r>
    </w:p>
    <w:p>
      <w:pPr>
        <w:autoSpaceDN w:val="0"/>
        <w:autoSpaceDE w:val="0"/>
        <w:widowControl/>
        <w:spacing w:line="164" w:lineRule="exact" w:before="394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4.7 Range</w:t>
      </w:r>
    </w:p>
    <w:p>
      <w:pPr>
        <w:autoSpaceDN w:val="0"/>
        <w:autoSpaceDE w:val="0"/>
        <w:widowControl/>
        <w:spacing w:line="290" w:lineRule="exact" w:before="5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range indicates the spread between the highest and lowest scores, offering a direct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view of performance extremes. CS 8406 exhibited the widest range (58), while ME 8412</w:t>
      </w:r>
    </w:p>
    <w:p>
      <w:pPr>
        <w:autoSpaceDN w:val="0"/>
        <w:autoSpaceDE w:val="0"/>
        <w:widowControl/>
        <w:spacing w:line="284" w:lineRule="exact" w:before="56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had the narrowest (20), suggesting substantial differences in score dispersion between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courses. A wide range, as seen in CS 8406, may reflect diverse levels of student prepared­</w:t>
      </w:r>
    </w:p>
    <w:p>
      <w:pPr>
        <w:autoSpaceDN w:val="0"/>
        <w:autoSpaceDE w:val="0"/>
        <w:widowControl/>
        <w:spacing w:line="254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ness, variations in instructional quality, or potentially inconsistent assessment standards.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 contrast, a narrow range like that in ME 8412 could point to more uniform perfor­</w:t>
      </w:r>
    </w:p>
    <w:p>
      <w:pPr>
        <w:autoSpaceDN w:val="0"/>
        <w:autoSpaceDE w:val="0"/>
        <w:widowControl/>
        <w:spacing w:line="284" w:lineRule="exact" w:before="56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mance, either due to standardised assessments or limited differentiation in student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abilities. According to Jolliffe and Cadima [</w:t>
      </w:r>
      <w:hyperlink r:id="rId7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variables with wider ranges and higher</w:t>
      </w:r>
    </w:p>
    <w:p>
      <w:pPr>
        <w:sectPr>
          <w:pgSz w:w="11906" w:h="15874"/>
          <w:pgMar w:top="240" w:right="240" w:bottom="122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780" w:type="dxa"/>
        <w:gridCol w:w="406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7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10 of 18</w:t>
            </w:r>
          </w:p>
        </w:tc>
      </w:tr>
    </w:tbl>
    <w:p>
      <w:pPr>
        <w:autoSpaceDN w:val="0"/>
        <w:autoSpaceDE w:val="0"/>
        <w:widowControl/>
        <w:spacing w:line="290" w:lineRule="exact" w:before="73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variability can disproportionately influence the structure of multivariate techniques such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as Principal Component Analysis (PCA), as they introduce more dominant variance into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analysis. This means that CS 8406, with its broad range, may heavily influence the</w:t>
      </w:r>
    </w:p>
    <w:p>
      <w:pPr>
        <w:autoSpaceDN w:val="0"/>
        <w:autoSpaceDE w:val="0"/>
        <w:widowControl/>
        <w:spacing w:line="264" w:lineRule="exact" w:before="0" w:after="0"/>
        <w:ind w:left="2112" w:right="2114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principal components unless the data is standardised. Understanding range is thus not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only crucial for interpreting student performance disparities but also for preparing data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appropriately for robust multivariate modelling.</w:t>
      </w:r>
    </w:p>
    <w:p>
      <w:pPr>
        <w:autoSpaceDN w:val="0"/>
        <w:autoSpaceDE w:val="0"/>
        <w:widowControl/>
        <w:spacing w:line="134" w:lineRule="exact" w:before="38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4.8 Skewness and kurtosis</w:t>
      </w:r>
    </w:p>
    <w:p>
      <w:pPr>
        <w:autoSpaceDN w:val="0"/>
        <w:autoSpaceDE w:val="0"/>
        <w:widowControl/>
        <w:spacing w:line="188" w:lineRule="exact" w:before="1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Skewness values for most courses hover around zero, indicating that their score distribu­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tions are approximately symmetric. This symmetry suggests a balanced spread of scores</w:t>
      </w:r>
    </w:p>
    <w:p>
      <w:pPr>
        <w:autoSpaceDN w:val="0"/>
        <w:autoSpaceDE w:val="0"/>
        <w:widowControl/>
        <w:spacing w:line="264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around the mean, which is ideal for applying parametric techniques like PCA. However,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notable exceptions exist. For example, ME 8414 exhibits a skewness of -1.2, indicating a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strong left-skewed (negatively skewed) distribution, where a majority of students scored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relatively high, while a few scored much lower. This pattern may point to an assessment</w:t>
      </w:r>
    </w:p>
    <w:p>
      <w:pPr>
        <w:autoSpaceDN w:val="0"/>
        <w:autoSpaceDE w:val="0"/>
        <w:widowControl/>
        <w:spacing w:line="264" w:lineRule="exact" w:before="0" w:after="0"/>
        <w:ind w:left="2112" w:right="2114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that was generally easy or one where only a few students underperformed. Kurtosis val­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ues near zero suggest that many distributions resemble the standard curve in terms of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tail weight and peakedness. However, some courses deviate substantially. ME 8408, with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 kurtosis of -1.16, is platykurtic, indicating a flatter distribution with lighter tails, sug­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gesting a wider spread of scores and fewer extreme values. In contrast, ME 8414 has a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kurtosis of 2.86, classifying it as leptokurtic, which reflects a sharper peak and heavier</w:t>
      </w:r>
    </w:p>
    <w:p>
      <w:pPr>
        <w:autoSpaceDN w:val="0"/>
        <w:autoSpaceDE w:val="0"/>
        <w:widowControl/>
        <w:spacing w:line="264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tails, implying that scores are tightly clustered arou</w:t>
      </w:r>
      <w:hyperlink r:id="rId105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nd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the mean with more frequent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extreme values on either side. According to Shlens [</w:t>
      </w:r>
      <w:hyperlink r:id="rId105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], understanding skewness and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kurtosis is essential in multivariate analysis because these distributional features can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influence the effectiveness of linear models, such as PCA, which typically assume dis­</w:t>
      </w:r>
    </w:p>
    <w:p>
      <w:pPr>
        <w:autoSpaceDN w:val="0"/>
        <w:autoSpaceDE w:val="0"/>
        <w:widowControl/>
        <w:spacing w:line="254" w:lineRule="exact" w:before="0" w:after="0"/>
        <w:ind w:left="2112" w:right="2016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tributed variables. Highly skewed or kurtotic variables may distort component loadings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or require transformation before analysis.</w:t>
      </w:r>
    </w:p>
    <w:p>
      <w:pPr>
        <w:autoSpaceDN w:val="0"/>
        <w:autoSpaceDE w:val="0"/>
        <w:widowControl/>
        <w:spacing w:line="172" w:lineRule="exact" w:before="38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4.9 Normality tests</w:t>
      </w:r>
    </w:p>
    <w:p>
      <w:pPr>
        <w:autoSpaceDN w:val="0"/>
        <w:autoSpaceDE w:val="0"/>
        <w:widowControl/>
        <w:spacing w:line="290" w:lineRule="exact" w:before="5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Shapiro-Wilk W and corresponding p-values are used to assess the normality of data</w:t>
      </w:r>
    </w:p>
    <w:p>
      <w:pPr>
        <w:autoSpaceDN w:val="0"/>
        <w:autoSpaceDE w:val="0"/>
        <w:widowControl/>
        <w:spacing w:line="264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distributions. In this analysis, most courses yielded W values between 0.98 and 0.99,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which are close to 1, the ideal value for a perfectly normal distribution. According to sta­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tistical conventions, W values above 0.95 generally suggest that the data is approximately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normal, particularly when accompanied by non-significant p-values (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p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&gt; 0.05). Based on</w:t>
      </w:r>
    </w:p>
    <w:p>
      <w:pPr>
        <w:autoSpaceDN w:val="0"/>
        <w:autoSpaceDE w:val="0"/>
        <w:widowControl/>
        <w:spacing w:line="256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this scale, the majority of the course scores can be considered approximately normally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distributed. However, ME 8408 is a notable exception. Despite a high W value of 0.93, its</w:t>
      </w:r>
    </w:p>
    <w:p>
      <w:pPr>
        <w:autoSpaceDN w:val="0"/>
        <w:autoSpaceDE w:val="0"/>
        <w:widowControl/>
        <w:spacing w:line="282" w:lineRule="exact" w:before="58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p-value was less than 0.001, indicating a statistically significant deviation from normal­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ity. This finding suggests that the distribution of scores in ME 8408 does not conform to</w:t>
      </w:r>
    </w:p>
    <w:p>
      <w:pPr>
        <w:autoSpaceDN w:val="0"/>
        <w:autoSpaceDE w:val="0"/>
        <w:widowControl/>
        <w:spacing w:line="274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the assumptions of normality, and therefore may necessitate the use of non-parametric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</w:t>
      </w:r>
      <w:hyperlink r:id="rId75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e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chniques or data transformation in subsequent analyses. As emphasised by Hair et al.,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[</w:t>
      </w:r>
      <w:hyperlink r:id="rId75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9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], testing for normality is critical when preparing data for multivariate analyses, such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as Principal Component Analysis (PCA), which assumes a linear relationship and regu­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lar distribution of variables. Violations of these assumptions can distort factor extraction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and interpretation, making preliminary diagnostics such as the Shapiro-Wilk test a vital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step in data screening.</w:t>
      </w:r>
    </w:p>
    <w:p>
      <w:pPr>
        <w:sectPr>
          <w:pgSz w:w="11906" w:h="15874"/>
          <w:pgMar w:top="240" w:right="240" w:bottom="184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7992109</wp:posOffset>
            </wp:positionV>
            <wp:extent cx="66675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10"/>
                    <a:stretch>
                      <a:fillRect/>
                    </a:stretch>
                  </pic:blipFill>
                  <pic:spPr>
                    <a:xfrm>
                      <a:off x="0" y="0"/>
                      <a:ext cx="666750" cy="50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2160270</wp:posOffset>
            </wp:positionH>
            <wp:positionV relativeFrom="page">
              <wp:posOffset>7992109</wp:posOffset>
            </wp:positionV>
            <wp:extent cx="136017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11"/>
                    <a:stretch>
                      <a:fillRect/>
                    </a:stretch>
                  </pic:blipFill>
                  <pic:spPr>
                    <a:xfrm>
                      <a:off x="0" y="0"/>
                      <a:ext cx="1360170" cy="50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3520440</wp:posOffset>
            </wp:positionH>
            <wp:positionV relativeFrom="page">
              <wp:posOffset>7992109</wp:posOffset>
            </wp:positionV>
            <wp:extent cx="66675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12"/>
                    <a:stretch>
                      <a:fillRect/>
                    </a:stretch>
                  </pic:blipFill>
                  <pic:spPr>
                    <a:xfrm>
                      <a:off x="0" y="0"/>
                      <a:ext cx="666750" cy="50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4187190</wp:posOffset>
            </wp:positionH>
            <wp:positionV relativeFrom="page">
              <wp:posOffset>7844790</wp:posOffset>
            </wp:positionV>
            <wp:extent cx="187833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13"/>
                    <a:stretch>
                      <a:fillRect/>
                    </a:stretch>
                  </pic:blipFill>
                  <pic:spPr>
                    <a:xfrm>
                      <a:off x="0" y="0"/>
                      <a:ext cx="187833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4187190</wp:posOffset>
            </wp:positionH>
            <wp:positionV relativeFrom="page">
              <wp:posOffset>7992109</wp:posOffset>
            </wp:positionV>
            <wp:extent cx="187833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14"/>
                    <a:stretch>
                      <a:fillRect/>
                    </a:stretch>
                  </pic:blipFill>
                  <pic:spPr>
                    <a:xfrm>
                      <a:off x="0" y="0"/>
                      <a:ext cx="1878330" cy="50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9326880</wp:posOffset>
            </wp:positionV>
            <wp:extent cx="457200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79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780" w:type="dxa"/>
        <w:gridCol w:w="406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7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11 of 18</w:t>
            </w:r>
          </w:p>
        </w:tc>
      </w:tr>
    </w:tbl>
    <w:p>
      <w:pPr>
        <w:autoSpaceDN w:val="0"/>
        <w:autoSpaceDE w:val="0"/>
        <w:widowControl/>
        <w:spacing w:line="284" w:lineRule="exact" w:before="664" w:after="0"/>
        <w:ind w:left="2112" w:right="2016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4.10 C</w:t>
      </w:r>
      <w:hyperlink r:id="rId106" w:history="1">
        <w:r>
          <w:rPr>
            <w:rStyle w:val="Hyperlink"/>
            <w:rFonts w:ascii="MyriadPro" w:hAnsi="MyriadPro" w:eastAsia="MyriadPro" w:cs="MyriadPro"/>
            <w:sz w:val="18.399999618530273"/>
            <w:b/>
            <w:color w:val="000000"/>
            <w:w w:val="102.22222010294597"/>
            <w:spacing w:val="-10"/>
          </w:rPr>
          <w:t>o</w:t>
        </w:r>
      </w:hyperlink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 xml:space="preserve">rrelation between course scores and GPA in mechanical engineering students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Table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106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presents a Pearson correlation matrix assessing linear associations between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students’ performance in individual mechanical engineering courses and their overall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Grade Point Average (GPA). Notably, strong positive correlations were observed for ME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8401 – Fluid Power and Control (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r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= 0.72), CS 8406 – Object-Oriented Programming (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 xml:space="preserve">r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= 0.64), ME 8415 – Computer-Aided Manufacturing (CAM) (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r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= 0.63), and ME 8411 –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Automation and Robotics (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r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= 0.61), suggesting that achievement in these courses aligns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closely with overall academic success. While Pearson’s correlation does not imply causal­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ity, it indicates that students who excel in these modules tend to achieve higher GPAs.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However, the statistical significance of these correlations requires confirmation through</w:t>
      </w:r>
    </w:p>
    <w:p>
      <w:pPr>
        <w:autoSpaceDN w:val="0"/>
        <w:autoSpaceDE w:val="0"/>
        <w:widowControl/>
        <w:spacing w:line="264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accompanying p-values, which are not reported here. In contrast, ME 8408 – Industrial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Practical Training III showed a weak negative correlation (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r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= -0.21), potentially indicat­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ing misalignment in the assessment or distinct evaluation criteria that do not accurately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reflect general academic performance. Similarly, ME 8407 – Senior Project I (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r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= 0.22)</w:t>
      </w:r>
    </w:p>
    <w:p>
      <w:pPr>
        <w:autoSpaceDN w:val="0"/>
        <w:autoSpaceDE w:val="0"/>
        <w:widowControl/>
        <w:spacing w:line="190" w:lineRule="exact" w:before="3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ME 8417 – Senior Project II (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r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= 0.33) showed low correlations with GPA, implying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limited influence on cumulative performance. Inter-course correlations, such as those</w:t>
      </w:r>
    </w:p>
    <w:p>
      <w:pPr>
        <w:autoSpaceDN w:val="0"/>
        <w:autoSpaceDE w:val="0"/>
        <w:widowControl/>
        <w:spacing w:line="264" w:lineRule="exact" w:before="0" w:after="0"/>
        <w:ind w:left="2112" w:right="2114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between ME 8401 and ME 8411 (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r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= 0.60) and between ME 8415 and ME 8416 – Indus­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trial Supervisor Skills and Leadership (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r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= 0.51)- </w:t>
      </w:r>
      <w:hyperlink r:id="rId107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s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uggest potential overlap in compe­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tencies or thematic content. According to Cohen [</w:t>
      </w:r>
      <w:hyperlink r:id="rId107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correlation values above 0.50 are</w:t>
      </w:r>
    </w:p>
    <w:p>
      <w:pPr>
        <w:autoSpaceDN w:val="0"/>
        <w:autoSpaceDE w:val="0"/>
        <w:widowControl/>
        <w:spacing w:line="282" w:lineRule="exact" w:before="58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considered significant, those between 0.30 and 0.49 are moderate, and those below 0.30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are small, which guides the interpretation of these findings for curriculum evaluation</w:t>
      </w:r>
    </w:p>
    <w:p>
      <w:pPr>
        <w:autoSpaceDN w:val="0"/>
        <w:autoSpaceDE w:val="0"/>
        <w:widowControl/>
        <w:spacing w:line="186" w:lineRule="exact" w:before="4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academic planning.</w:t>
      </w:r>
    </w:p>
    <w:p>
      <w:pPr>
        <w:autoSpaceDN w:val="0"/>
        <w:autoSpaceDE w:val="0"/>
        <w:widowControl/>
        <w:spacing w:line="286" w:lineRule="exact" w:before="270" w:after="0"/>
        <w:ind w:left="2112" w:right="2016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 xml:space="preserve">4.11 PCA of performance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PCA was applied to reduce the complexity of student performance data and identify key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underlying dimensions. By transforming correlated course scores into a smaller set of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uncorrelated components, PCA highlights core performance domains and reveals pat­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terns not evident from raw scores. This aids in curriculum evaluation and supports evi­</w:t>
      </w:r>
    </w:p>
    <w:p>
      <w:pPr>
        <w:autoSpaceDN w:val="0"/>
        <w:autoSpaceDE w:val="0"/>
        <w:widowControl/>
        <w:spacing w:line="188" w:lineRule="exact" w:before="38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dence-based improvements in mechanical engineering education.</w:t>
      </w:r>
    </w:p>
    <w:p>
      <w:pPr>
        <w:autoSpaceDN w:val="0"/>
        <w:autoSpaceDE w:val="0"/>
        <w:widowControl/>
        <w:spacing w:line="284" w:lineRule="exact" w:before="276" w:after="0"/>
        <w:ind w:left="2112" w:right="2016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i/>
          <w:color w:val="000000"/>
          <w:sz w:val="18"/>
        </w:rPr>
        <w:t xml:space="preserve">4.11.1 Scree plot for factor retention in exploratory factor analysis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To determine the optimal num</w:t>
      </w:r>
      <w:hyperlink r:id="rId108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b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er of components for retention, a scree plot was used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as a visual diagnostic tool (Fig.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108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). According to the Kaiser criterion, components with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eigenvalues greater than 1 are </w:t>
      </w:r>
      <w:hyperlink r:id="rId109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co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nsidered meaningful, as each explains more variance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than a single original variable [</w:t>
      </w:r>
      <w:hyperlink r:id="rId109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]. In this analysis, Component 1 had an eigenvalue of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approximately 6.72, indicating it accounted for a substantial portion of the variance,</w:t>
      </w:r>
    </w:p>
    <w:p>
      <w:pPr>
        <w:autoSpaceDN w:val="0"/>
        <w:autoSpaceDE w:val="0"/>
        <w:widowControl/>
        <w:spacing w:line="170" w:lineRule="exact" w:before="400" w:after="4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8"/>
          <w:u w:val="single"/>
        </w:rPr>
        <w:t>Table 4</w:t>
      </w:r>
      <w:r>
        <w:rPr>
          <w:spacing w:val="-10"/>
          <w:rFonts w:ascii="MyriadPro" w:hAnsi="MyriadPro" w:eastAsia="MyriadPro"/>
          <w:color w:val="000000"/>
          <w:sz w:val="18"/>
          <w:u w:val="single"/>
        </w:rPr>
        <w:t xml:space="preserve"> The c</w:t>
      </w:r>
      <w:r>
        <w:rPr>
          <w:spacing w:val="-10"/>
          <w:rFonts w:ascii="MyriadPro" w:hAnsi="MyriadPro" w:eastAsia="MyriadPro"/>
          <w:color w:val="000000"/>
          <w:sz w:val="18"/>
          <w:u w:val="single"/>
        </w:rPr>
        <w:t>orrelation matrix of the course</w:t>
      </w:r>
      <w:r>
        <w:rPr>
          <w:spacing w:val="-10"/>
          <w:rFonts w:ascii="MyriadPro" w:hAnsi="MyriadPro" w:eastAsia="MyriadPro"/>
          <w:color w:val="000000"/>
          <w:sz w:val="18"/>
          <w:u w:val="single"/>
        </w:rPr>
        <w:t>s key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20" w:type="dxa"/>
        <w:gridCol w:w="1620" w:type="dxa"/>
        <w:gridCol w:w="1560" w:type="dxa"/>
        <w:gridCol w:w="3100" w:type="dxa"/>
      </w:tblGrid>
      <w:tr>
        <w:trPr>
          <w:trHeight w:hRule="exact" w:val="216"/>
        </w:trPr>
        <w:tc>
          <w:tcPr>
            <w:tcW w:type="dxa" w:w="2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6" w:lineRule="exact" w:before="40" w:after="0"/>
              <w:ind w:left="0" w:right="98" w:firstLine="0"/>
              <w:jc w:val="righ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Course code</w:t>
            </w:r>
          </w:p>
        </w:tc>
        <w:tc>
          <w:tcPr>
            <w:tcW w:type="dxa" w:w="1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2" w:lineRule="exact" w:before="44" w:after="0"/>
              <w:ind w:left="10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Course name</w:t>
            </w:r>
          </w:p>
        </w:tc>
        <w:tc>
          <w:tcPr>
            <w:tcW w:type="dxa" w:w="15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6" w:lineRule="exact" w:before="40" w:after="0"/>
              <w:ind w:left="0" w:right="88" w:firstLine="0"/>
              <w:jc w:val="righ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Course code</w:t>
            </w:r>
          </w:p>
        </w:tc>
        <w:tc>
          <w:tcPr>
            <w:tcW w:type="dxa" w:w="3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2" w:lineRule="exact" w:before="44" w:after="0"/>
              <w:ind w:left="11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Course name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2320" w:type="dxa"/>
        <w:gridCol w:w="900" w:type="dxa"/>
        <w:gridCol w:w="3740" w:type="dxa"/>
      </w:tblGrid>
      <w:tr>
        <w:trPr>
          <w:trHeight w:hRule="exact" w:val="248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4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CS 8406</w:t>
            </w:r>
          </w:p>
        </w:tc>
        <w:tc>
          <w:tcPr>
            <w:tcW w:type="dxa" w:w="2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58" w:after="0"/>
              <w:ind w:left="28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Object Oriented Programming</w:t>
            </w:r>
          </w:p>
        </w:tc>
        <w:tc>
          <w:tcPr>
            <w:tcW w:type="dxa" w:w="9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4" w:after="0"/>
              <w:ind w:left="10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8409</w:t>
            </w:r>
          </w:p>
        </w:tc>
        <w:tc>
          <w:tcPr>
            <w:tcW w:type="dxa" w:w="37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50" w:lineRule="exact" w:before="58" w:after="0"/>
              <w:ind w:left="2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Quality Assurance and Control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60" w:type="dxa"/>
        <w:gridCol w:w="2100" w:type="dxa"/>
        <w:gridCol w:w="1100" w:type="dxa"/>
        <w:gridCol w:w="4200" w:type="dxa"/>
      </w:tblGrid>
      <w:tr>
        <w:trPr>
          <w:trHeight w:hRule="exact" w:val="252"/>
        </w:trPr>
        <w:tc>
          <w:tcPr>
            <w:tcW w:type="dxa" w:w="18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6" w:after="0"/>
              <w:ind w:left="0" w:right="24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8401</w:t>
            </w:r>
          </w:p>
        </w:tc>
        <w:tc>
          <w:tcPr>
            <w:tcW w:type="dxa" w:w="2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6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Fluid Power and Control</w:t>
            </w:r>
          </w:p>
        </w:tc>
        <w:tc>
          <w:tcPr>
            <w:tcW w:type="dxa" w:w="1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6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8410</w:t>
            </w:r>
          </w:p>
        </w:tc>
        <w:tc>
          <w:tcPr>
            <w:tcW w:type="dxa" w:w="4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50" w:lineRule="exact" w:before="58" w:after="0"/>
              <w:ind w:left="2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Engineering Ethics and Professional Conduct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60" w:type="dxa"/>
        <w:gridCol w:w="1740" w:type="dxa"/>
        <w:gridCol w:w="1460" w:type="dxa"/>
        <w:gridCol w:w="3600" w:type="dxa"/>
      </w:tblGrid>
      <w:tr>
        <w:trPr>
          <w:trHeight w:hRule="exact" w:val="232"/>
        </w:trPr>
        <w:tc>
          <w:tcPr>
            <w:tcW w:type="dxa" w:w="18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4" w:after="0"/>
              <w:ind w:left="0" w:right="24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8402</w:t>
            </w:r>
          </w:p>
        </w:tc>
        <w:tc>
          <w:tcPr>
            <w:tcW w:type="dxa" w:w="17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6" w:lineRule="exact" w:before="58" w:after="0"/>
              <w:ind w:left="26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Power Plants</w:t>
            </w:r>
          </w:p>
        </w:tc>
        <w:tc>
          <w:tcPr>
            <w:tcW w:type="dxa" w:w="14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4" w:after="0"/>
              <w:ind w:left="0" w:right="25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8411</w:t>
            </w:r>
          </w:p>
        </w:tc>
        <w:tc>
          <w:tcPr>
            <w:tcW w:type="dxa" w:w="3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6" w:lineRule="exact" w:before="58" w:after="0"/>
              <w:ind w:left="2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Automation and Robotics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60" w:type="dxa"/>
        <w:gridCol w:w="2140" w:type="dxa"/>
        <w:gridCol w:w="1060" w:type="dxa"/>
        <w:gridCol w:w="3620" w:type="dxa"/>
      </w:tblGrid>
      <w:tr>
        <w:trPr>
          <w:trHeight w:hRule="exact" w:val="250"/>
        </w:trPr>
        <w:tc>
          <w:tcPr>
            <w:tcW w:type="dxa" w:w="18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6" w:after="0"/>
              <w:ind w:left="0" w:right="24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8403</w:t>
            </w:r>
          </w:p>
        </w:tc>
        <w:tc>
          <w:tcPr>
            <w:tcW w:type="dxa" w:w="21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6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Material Handling Design</w:t>
            </w:r>
          </w:p>
        </w:tc>
        <w:tc>
          <w:tcPr>
            <w:tcW w:type="dxa" w:w="1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6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8412</w:t>
            </w:r>
          </w:p>
        </w:tc>
        <w:tc>
          <w:tcPr>
            <w:tcW w:type="dxa" w:w="3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60" w:after="0"/>
              <w:ind w:left="2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Engine Design Technology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60" w:type="dxa"/>
        <w:gridCol w:w="1860" w:type="dxa"/>
        <w:gridCol w:w="1340" w:type="dxa"/>
        <w:gridCol w:w="3440" w:type="dxa"/>
      </w:tblGrid>
      <w:tr>
        <w:trPr>
          <w:trHeight w:hRule="exact" w:val="250"/>
        </w:trPr>
        <w:tc>
          <w:tcPr>
            <w:tcW w:type="dxa" w:w="18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4" w:after="0"/>
              <w:ind w:left="0" w:right="24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8404</w:t>
            </w:r>
          </w:p>
        </w:tc>
        <w:tc>
          <w:tcPr>
            <w:tcW w:type="dxa" w:w="18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50" w:lineRule="exact" w:before="58" w:after="0"/>
              <w:ind w:left="26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Turbo Machinery</w:t>
            </w:r>
          </w:p>
        </w:tc>
        <w:tc>
          <w:tcPr>
            <w:tcW w:type="dxa" w:w="1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4" w:after="0"/>
              <w:ind w:left="0" w:right="25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8413</w:t>
            </w:r>
          </w:p>
        </w:tc>
        <w:tc>
          <w:tcPr>
            <w:tcW w:type="dxa" w:w="34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50" w:lineRule="exact" w:before="58" w:after="0"/>
              <w:ind w:left="2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Foundry Technology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60" w:type="dxa"/>
        <w:gridCol w:w="2080" w:type="dxa"/>
        <w:gridCol w:w="1120" w:type="dxa"/>
        <w:gridCol w:w="3560" w:type="dxa"/>
      </w:tblGrid>
      <w:tr>
        <w:trPr>
          <w:trHeight w:hRule="exact" w:val="250"/>
        </w:trPr>
        <w:tc>
          <w:tcPr>
            <w:tcW w:type="dxa" w:w="18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4" w:after="0"/>
              <w:ind w:left="0" w:right="24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8405</w:t>
            </w:r>
          </w:p>
        </w:tc>
        <w:tc>
          <w:tcPr>
            <w:tcW w:type="dxa" w:w="20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58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Production Engineering</w:t>
            </w:r>
          </w:p>
        </w:tc>
        <w:tc>
          <w:tcPr>
            <w:tcW w:type="dxa" w:w="1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4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8414</w:t>
            </w:r>
          </w:p>
        </w:tc>
        <w:tc>
          <w:tcPr>
            <w:tcW w:type="dxa" w:w="35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50" w:lineRule="exact" w:before="58" w:after="0"/>
              <w:ind w:left="2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Air Conditioning System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60" w:type="dxa"/>
        <w:gridCol w:w="1980" w:type="dxa"/>
        <w:gridCol w:w="1220" w:type="dxa"/>
        <w:gridCol w:w="4020" w:type="dxa"/>
      </w:tblGrid>
      <w:tr>
        <w:trPr>
          <w:trHeight w:hRule="exact" w:val="250"/>
        </w:trPr>
        <w:tc>
          <w:tcPr>
            <w:tcW w:type="dxa" w:w="18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6" w:after="0"/>
              <w:ind w:left="0" w:right="24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8406</w:t>
            </w:r>
          </w:p>
        </w:tc>
        <w:tc>
          <w:tcPr>
            <w:tcW w:type="dxa" w:w="1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50" w:lineRule="exact" w:before="58" w:after="0"/>
              <w:ind w:left="26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Refrigeration System</w:t>
            </w:r>
          </w:p>
        </w:tc>
        <w:tc>
          <w:tcPr>
            <w:tcW w:type="dxa" w:w="1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6" w:after="0"/>
              <w:ind w:left="0" w:right="25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8415</w:t>
            </w:r>
          </w:p>
        </w:tc>
        <w:tc>
          <w:tcPr>
            <w:tcW w:type="dxa" w:w="4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58" w:after="0"/>
              <w:ind w:left="2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Computer-Aided Manufacturing (CAM)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60" w:type="dxa"/>
        <w:gridCol w:w="1800" w:type="dxa"/>
        <w:gridCol w:w="1400" w:type="dxa"/>
        <w:gridCol w:w="4100" w:type="dxa"/>
      </w:tblGrid>
      <w:tr>
        <w:trPr>
          <w:trHeight w:hRule="exact" w:val="250"/>
        </w:trPr>
        <w:tc>
          <w:tcPr>
            <w:tcW w:type="dxa" w:w="18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4" w:after="0"/>
              <w:ind w:left="0" w:right="24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8407</w:t>
            </w:r>
          </w:p>
        </w:tc>
        <w:tc>
          <w:tcPr>
            <w:tcW w:type="dxa" w:w="18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4" w:lineRule="exact" w:before="62" w:after="0"/>
              <w:ind w:left="26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Senior Project I</w:t>
            </w:r>
          </w:p>
        </w:tc>
        <w:tc>
          <w:tcPr>
            <w:tcW w:type="dxa" w:w="14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4" w:after="0"/>
              <w:ind w:left="0" w:right="25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8416</w:t>
            </w:r>
          </w:p>
        </w:tc>
        <w:tc>
          <w:tcPr>
            <w:tcW w:type="dxa" w:w="4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6" w:lineRule="exact" w:before="58" w:after="0"/>
              <w:ind w:left="2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Industrial Supervisor Skills and Leadership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60" w:type="dxa"/>
        <w:gridCol w:w="2240" w:type="dxa"/>
        <w:gridCol w:w="960" w:type="dxa"/>
        <w:gridCol w:w="3280" w:type="dxa"/>
      </w:tblGrid>
      <w:tr>
        <w:trPr>
          <w:trHeight w:hRule="exact" w:val="198"/>
        </w:trPr>
        <w:tc>
          <w:tcPr>
            <w:tcW w:type="dxa" w:w="18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4" w:after="0"/>
              <w:ind w:left="0" w:right="24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8408</w:t>
            </w:r>
          </w:p>
        </w:tc>
        <w:tc>
          <w:tcPr>
            <w:tcW w:type="dxa" w:w="2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58" w:after="0"/>
              <w:ind w:left="26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Industrial Practical Training III</w:t>
            </w:r>
          </w:p>
        </w:tc>
        <w:tc>
          <w:tcPr>
            <w:tcW w:type="dxa" w:w="9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4" w:after="0"/>
              <w:ind w:left="16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8417</w:t>
            </w:r>
          </w:p>
        </w:tc>
        <w:tc>
          <w:tcPr>
            <w:tcW w:type="dxa" w:w="32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4" w:lineRule="exact" w:before="62" w:after="0"/>
              <w:ind w:left="2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Senior Project II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sectPr>
          <w:pgSz w:w="11906" w:h="15874"/>
          <w:pgMar w:top="240" w:right="240" w:bottom="118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1619250</wp:posOffset>
            </wp:positionH>
            <wp:positionV relativeFrom="page">
              <wp:posOffset>1060450</wp:posOffset>
            </wp:positionV>
            <wp:extent cx="4324350" cy="25463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17"/>
                    <a:stretch>
                      <a:fillRect/>
                    </a:stretch>
                  </pic:blipFill>
                  <pic:spPr>
                    <a:xfrm>
                      <a:off x="0" y="0"/>
                      <a:ext cx="4324350" cy="254635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780" w:type="dxa"/>
        <w:gridCol w:w="406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7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12 of 18</w:t>
            </w:r>
          </w:p>
        </w:tc>
      </w:tr>
    </w:tbl>
    <w:p>
      <w:pPr>
        <w:autoSpaceDN w:val="0"/>
        <w:autoSpaceDE w:val="0"/>
        <w:widowControl/>
        <w:spacing w:line="150" w:lineRule="exact" w:before="501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6"/>
        </w:rPr>
        <w:t>Fig. 3</w:t>
      </w:r>
      <w:r>
        <w:rPr>
          <w:spacing w:val="-10"/>
          <w:rFonts w:ascii="MyriadPro" w:hAnsi="MyriadPro" w:eastAsia="MyriadPro"/>
          <w:color w:val="000000"/>
          <w:sz w:val="16"/>
        </w:rPr>
        <w:t xml:space="preserve"> The scree plot for principal component analysis for the course performance</w:t>
      </w:r>
    </w:p>
    <w:p>
      <w:pPr>
        <w:autoSpaceDN w:val="0"/>
        <w:autoSpaceDE w:val="0"/>
        <w:widowControl/>
        <w:spacing w:line="284" w:lineRule="exact" w:before="17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while Component 2 had an eigenvalue of approximately 1.89. These are the only two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components that met the Kaiser threshold, confirming their relevance for further analy­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sis. All subsequent components had eigenvalues below 1 and were therefore excluded</w:t>
      </w:r>
    </w:p>
    <w:p>
      <w:pPr>
        <w:autoSpaceDN w:val="0"/>
        <w:autoSpaceDE w:val="0"/>
        <w:widowControl/>
        <w:spacing w:line="282" w:lineRule="exact" w:before="58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due to their limited explanatory power. The “elbow” point in the scree plot—where the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rate of decline in eigenvalues visibly flattens, further supports retaining only the first two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components. This visual method, as described by Cattell [</w:t>
      </w:r>
      <w:hyperlink r:id="rId115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identifies the point at which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additional components contribute minimal incremental variance, thus ensuring that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only the most informative dimensions are retained. This dual-criterion approach (Kai­</w:t>
      </w:r>
    </w:p>
    <w:p>
      <w:pPr>
        <w:autoSpaceDN w:val="0"/>
        <w:autoSpaceDE w:val="0"/>
        <w:widowControl/>
        <w:spacing w:line="268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ser + elbow) supports a parsimonious solution that balances dimensionality reduction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with the retention of essential information. Simplifying the factor structure in this way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enhances interpretability and strengthens the analytical robustness of the subsequent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Exploratory Factor Analysis.</w:t>
      </w:r>
    </w:p>
    <w:p>
      <w:pPr>
        <w:autoSpaceDN w:val="0"/>
        <w:autoSpaceDE w:val="0"/>
        <w:widowControl/>
        <w:spacing w:line="290" w:lineRule="exact" w:before="270" w:after="0"/>
        <w:ind w:left="2112" w:right="2016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4.12 L</w:t>
      </w:r>
      <w:hyperlink r:id="rId116" w:history="1">
        <w:r>
          <w:rPr>
            <w:rStyle w:val="Hyperlink"/>
            <w:rFonts w:ascii="MyriadPro" w:hAnsi="MyriadPro" w:eastAsia="MyriadPro" w:cs="MyriadPro"/>
            <w:sz w:val="18.399999618530273"/>
            <w:b/>
            <w:color w:val="000000"/>
            <w:w w:val="102.22222010294597"/>
            <w:spacing w:val="-10"/>
          </w:rPr>
          <w:t>a</w:t>
        </w:r>
      </w:hyperlink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 xml:space="preserve">tent dimensions of student achievement and their underlying competencies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Table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116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presents the factor loadings obtained from students’ performance data using the</w:t>
      </w:r>
    </w:p>
    <w:p>
      <w:pPr>
        <w:autoSpaceDN w:val="0"/>
        <w:autoSpaceDE w:val="0"/>
        <w:widowControl/>
        <w:spacing w:line="162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minimum residual extraction method with oblimin rotation, which allows for correlated</w:t>
      </w:r>
    </w:p>
    <w:p>
      <w:pPr>
        <w:autoSpaceDN w:val="0"/>
        <w:autoSpaceDE w:val="0"/>
        <w:widowControl/>
        <w:spacing w:line="188" w:lineRule="exact" w:before="12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factors. Factor loadings indicate the strength and direction of the relationship between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observed course scores and the underlying latent factors. These values are interpreted</w:t>
      </w:r>
    </w:p>
    <w:p>
      <w:pPr>
        <w:autoSpaceDN w:val="0"/>
        <w:autoSpaceDE w:val="0"/>
        <w:widowControl/>
        <w:spacing w:line="254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using a standard scale: loadings below 0.30 are considered low, those between 0.30 and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0.49 are moderate, and those of 0.50 or higher are regarded as strong indicators of asso­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ciation. Higher loadings indicate that a course is more influential in defining a given</w:t>
      </w:r>
    </w:p>
    <w:p>
      <w:pPr>
        <w:autoSpaceDN w:val="0"/>
        <w:autoSpaceDE w:val="0"/>
        <w:widowControl/>
        <w:spacing w:line="264" w:lineRule="exact" w:before="0" w:after="0"/>
        <w:ind w:left="2112" w:right="2114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factor, providing insight into the dominant performance domains. Additionally, unique­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ness values are reported as the proportion of each variable’s variance not explained by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extracted factors, thereby highlighting variables that may not align closely with the</w:t>
      </w:r>
    </w:p>
    <w:p>
      <w:pPr>
        <w:autoSpaceDN w:val="0"/>
        <w:autoSpaceDE w:val="0"/>
        <w:widowControl/>
        <w:spacing w:line="142" w:lineRule="exact" w:before="96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shared latent constructs.</w:t>
      </w:r>
    </w:p>
    <w:p>
      <w:pPr>
        <w:autoSpaceDN w:val="0"/>
        <w:autoSpaceDE w:val="0"/>
        <w:widowControl/>
        <w:spacing w:line="128" w:lineRule="exact" w:before="43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i/>
          <w:color w:val="000000"/>
          <w:sz w:val="18"/>
        </w:rPr>
        <w:t>4.12.1 GPA</w:t>
      </w:r>
    </w:p>
    <w:p>
      <w:pPr>
        <w:autoSpaceDN w:val="0"/>
        <w:autoSpaceDE w:val="0"/>
        <w:widowControl/>
        <w:spacing w:line="190" w:lineRule="exact" w:before="1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GPA shows moderate loadings on Factors 1 (0.33) and 4 (0.39), suggesting that these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factors moderately influence overall academic performance. The low unique</w:t>
      </w:r>
      <w:hyperlink r:id="rId75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n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ess (0.04)</w:t>
      </w:r>
    </w:p>
    <w:p>
      <w:pPr>
        <w:autoSpaceDN w:val="0"/>
        <w:autoSpaceDE w:val="0"/>
        <w:widowControl/>
        <w:spacing w:line="186" w:lineRule="exact" w:before="4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indicates that the majority of GPA variance is accounted for by these factors [</w:t>
      </w:r>
      <w:hyperlink r:id="rId75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9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</w:t>
      </w:r>
    </w:p>
    <w:p>
      <w:pPr>
        <w:sectPr>
          <w:pgSz w:w="11906" w:h="15874"/>
          <w:pgMar w:top="240" w:right="240" w:bottom="120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1518920</wp:posOffset>
            </wp:positionV>
            <wp:extent cx="457200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4334510</wp:posOffset>
            </wp:positionV>
            <wp:extent cx="457200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5435600</wp:posOffset>
            </wp:positionH>
            <wp:positionV relativeFrom="page">
              <wp:posOffset>1221740</wp:posOffset>
            </wp:positionV>
            <wp:extent cx="62992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18"/>
                    <a:stretch>
                      <a:fillRect/>
                    </a:stretch>
                  </pic:blipFill>
                  <pic:spPr>
                    <a:xfrm>
                      <a:off x="0" y="0"/>
                      <a:ext cx="62992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5435600</wp:posOffset>
            </wp:positionH>
            <wp:positionV relativeFrom="page">
              <wp:posOffset>1370330</wp:posOffset>
            </wp:positionV>
            <wp:extent cx="62992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19"/>
                    <a:stretch>
                      <a:fillRect/>
                    </a:stretch>
                  </pic:blipFill>
                  <pic:spPr>
                    <a:xfrm>
                      <a:off x="0" y="0"/>
                      <a:ext cx="62992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2152650</wp:posOffset>
            </wp:positionH>
            <wp:positionV relativeFrom="page">
              <wp:posOffset>1221740</wp:posOffset>
            </wp:positionV>
            <wp:extent cx="328295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20"/>
                    <a:stretch>
                      <a:fillRect/>
                    </a:stretch>
                  </pic:blipFill>
                  <pic:spPr>
                    <a:xfrm>
                      <a:off x="0" y="0"/>
                      <a:ext cx="328295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2152650</wp:posOffset>
            </wp:positionH>
            <wp:positionV relativeFrom="page">
              <wp:posOffset>1370330</wp:posOffset>
            </wp:positionV>
            <wp:extent cx="320675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21"/>
                    <a:stretch>
                      <a:fillRect/>
                    </a:stretch>
                  </pic:blipFill>
                  <pic:spPr>
                    <a:xfrm>
                      <a:off x="0" y="0"/>
                      <a:ext cx="3206750" cy="5079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780" w:type="dxa"/>
        <w:gridCol w:w="406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7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13 of 18</w:t>
            </w:r>
          </w:p>
        </w:tc>
      </w:tr>
    </w:tbl>
    <w:p>
      <w:pPr>
        <w:autoSpaceDN w:val="0"/>
        <w:autoSpaceDE w:val="0"/>
        <w:widowControl/>
        <w:spacing w:line="168" w:lineRule="exact" w:before="834" w:after="42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8"/>
          <w:u w:val="single"/>
        </w:rPr>
        <w:t>Table 5</w:t>
      </w:r>
      <w:r>
        <w:rPr>
          <w:spacing w:val="-10"/>
          <w:rFonts w:ascii="MyriadPro" w:hAnsi="MyriadPro" w:eastAsia="MyriadPro"/>
          <w:color w:val="000000"/>
          <w:sz w:val="18"/>
          <w:u w:val="single"/>
        </w:rPr>
        <w:t xml:space="preserve"> Facto</w:t>
      </w:r>
      <w:r>
        <w:rPr>
          <w:spacing w:val="-10"/>
          <w:rFonts w:ascii="MyriadPro" w:hAnsi="MyriadPro" w:eastAsia="MyriadPro"/>
          <w:color w:val="000000"/>
          <w:sz w:val="18"/>
        </w:rPr>
        <w:t>r loading of the student’s performance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60" w:type="dxa"/>
        <w:gridCol w:w="3040" w:type="dxa"/>
        <w:gridCol w:w="4340" w:type="dxa"/>
      </w:tblGrid>
      <w:tr>
        <w:trPr>
          <w:trHeight w:hRule="exact" w:val="232"/>
        </w:trPr>
        <w:tc>
          <w:tcPr>
            <w:tcW w:type="dxa" w:w="18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44" w:after="0"/>
              <w:ind w:left="0" w:right="242" w:firstLine="0"/>
              <w:jc w:val="righ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Courses</w:t>
            </w:r>
          </w:p>
        </w:tc>
        <w:tc>
          <w:tcPr>
            <w:tcW w:type="dxa" w:w="30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46" w:after="0"/>
              <w:ind w:left="250" w:right="0" w:firstLine="0"/>
              <w:jc w:val="lef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Factor</w:t>
            </w:r>
          </w:p>
        </w:tc>
        <w:tc>
          <w:tcPr>
            <w:tcW w:type="dxa" w:w="4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2" w:lineRule="exact" w:before="42" w:after="0"/>
              <w:ind w:left="0" w:right="1146" w:firstLine="0"/>
              <w:jc w:val="righ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Uniqueness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560" w:type="dxa"/>
      </w:tblPr>
      <w:tblGrid>
        <w:gridCol w:w="1960" w:type="dxa"/>
        <w:gridCol w:w="680" w:type="dxa"/>
        <w:gridCol w:w="720" w:type="dxa"/>
        <w:gridCol w:w="720" w:type="dxa"/>
        <w:gridCol w:w="620" w:type="dxa"/>
        <w:gridCol w:w="640" w:type="dxa"/>
        <w:gridCol w:w="680" w:type="dxa"/>
        <w:gridCol w:w="2100" w:type="dxa"/>
      </w:tblGrid>
      <w:tr>
        <w:trPr>
          <w:trHeight w:hRule="exact" w:val="228"/>
        </w:trPr>
        <w:tc>
          <w:tcPr>
            <w:tcW w:type="dxa" w:w="19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4" w:lineRule="exact" w:before="62" w:after="0"/>
              <w:ind w:left="0" w:right="284" w:firstLine="0"/>
              <w:jc w:val="righ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1</w:t>
            </w:r>
          </w:p>
        </w:tc>
        <w:tc>
          <w:tcPr>
            <w:tcW w:type="dxa" w:w="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2</w:t>
            </w:r>
          </w:p>
        </w:tc>
        <w:tc>
          <w:tcPr>
            <w:tcW w:type="dxa" w:w="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3</w:t>
            </w:r>
          </w:p>
        </w:tc>
        <w:tc>
          <w:tcPr>
            <w:tcW w:type="dxa" w:w="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4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4</w:t>
            </w:r>
          </w:p>
        </w:tc>
        <w:tc>
          <w:tcPr>
            <w:tcW w:type="dxa" w:w="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5</w:t>
            </w:r>
          </w:p>
        </w:tc>
        <w:tc>
          <w:tcPr>
            <w:tcW w:type="dxa" w:w="6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6</w:t>
            </w:r>
          </w:p>
        </w:tc>
        <w:tc>
          <w:tcPr>
            <w:tcW w:type="dxa" w:w="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4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7</w:t>
            </w:r>
          </w:p>
        </w:tc>
        <w:tc>
          <w:tcPr>
            <w:tcW w:type="dxa" w:w="21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300" w:right="0" w:firstLine="0"/>
              <w:jc w:val="lef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8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40" w:type="dxa"/>
        <w:gridCol w:w="1400" w:type="dxa"/>
        <w:gridCol w:w="2900" w:type="dxa"/>
        <w:gridCol w:w="3080" w:type="dxa"/>
      </w:tblGrid>
      <w:tr>
        <w:trPr>
          <w:trHeight w:hRule="exact" w:val="232"/>
        </w:trPr>
        <w:tc>
          <w:tcPr>
            <w:tcW w:type="dxa" w:w="1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2" w:lineRule="exact" w:before="60" w:after="0"/>
              <w:ind w:left="0" w:right="2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CS 8406</w:t>
            </w:r>
          </w:p>
        </w:tc>
        <w:tc>
          <w:tcPr>
            <w:tcW w:type="dxa" w:w="14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4" w:after="0"/>
              <w:ind w:left="270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0.3</w:t>
            </w:r>
          </w:p>
        </w:tc>
        <w:tc>
          <w:tcPr>
            <w:tcW w:type="dxa" w:w="29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4" w:after="0"/>
              <w:ind w:left="0" w:right="173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0.4</w:t>
            </w:r>
          </w:p>
        </w:tc>
        <w:tc>
          <w:tcPr>
            <w:tcW w:type="dxa" w:w="30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4" w:after="0"/>
              <w:ind w:left="0" w:right="114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0.6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60" w:type="dxa"/>
        <w:gridCol w:w="3220" w:type="dxa"/>
        <w:gridCol w:w="4180" w:type="dxa"/>
      </w:tblGrid>
      <w:tr>
        <w:trPr>
          <w:trHeight w:hRule="exact" w:val="230"/>
        </w:trPr>
        <w:tc>
          <w:tcPr>
            <w:tcW w:type="dxa" w:w="18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24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8401</w:t>
            </w:r>
          </w:p>
        </w:tc>
        <w:tc>
          <w:tcPr>
            <w:tcW w:type="dxa" w:w="3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50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0.5</w:t>
            </w:r>
          </w:p>
        </w:tc>
        <w:tc>
          <w:tcPr>
            <w:tcW w:type="dxa" w:w="41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10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0.31</w:t>
            </w:r>
          </w:p>
        </w:tc>
      </w:tr>
    </w:tbl>
    <w:p>
      <w:pPr>
        <w:autoSpaceDN w:val="0"/>
        <w:tabs>
          <w:tab w:pos="8932" w:val="left"/>
        </w:tabs>
        <w:autoSpaceDE w:val="0"/>
        <w:widowControl/>
        <w:spacing w:line="110" w:lineRule="exact" w:before="64" w:after="64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8402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0.55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920" w:type="dxa"/>
        <w:gridCol w:w="3220" w:type="dxa"/>
        <w:gridCol w:w="3120" w:type="dxa"/>
      </w:tblGrid>
      <w:tr>
        <w:trPr>
          <w:trHeight w:hRule="exact" w:val="230"/>
        </w:trPr>
        <w:tc>
          <w:tcPr>
            <w:tcW w:type="dxa" w:w="29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130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8403</w:t>
            </w:r>
          </w:p>
        </w:tc>
        <w:tc>
          <w:tcPr>
            <w:tcW w:type="dxa" w:w="3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73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</w:t>
            </w:r>
          </w:p>
        </w:tc>
        <w:tc>
          <w:tcPr>
            <w:tcW w:type="dxa" w:w="3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10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0.44</w:t>
            </w:r>
          </w:p>
        </w:tc>
      </w:tr>
    </w:tbl>
    <w:p>
      <w:pPr>
        <w:autoSpaceDN w:val="0"/>
        <w:tabs>
          <w:tab w:pos="8932" w:val="left"/>
        </w:tabs>
        <w:autoSpaceDE w:val="0"/>
        <w:widowControl/>
        <w:spacing w:line="108" w:lineRule="exact" w:before="64" w:after="64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8404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0.78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4220" w:type="dxa"/>
        <w:gridCol w:w="3260" w:type="dxa"/>
        <w:gridCol w:w="1780" w:type="dxa"/>
      </w:tblGrid>
      <w:tr>
        <w:trPr>
          <w:trHeight w:hRule="exact" w:val="230"/>
        </w:trPr>
        <w:tc>
          <w:tcPr>
            <w:tcW w:type="dxa" w:w="4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260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8405</w:t>
            </w:r>
          </w:p>
        </w:tc>
        <w:tc>
          <w:tcPr>
            <w:tcW w:type="dxa" w:w="32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40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-0.4</w:t>
            </w:r>
          </w:p>
        </w:tc>
        <w:tc>
          <w:tcPr>
            <w:tcW w:type="dxa" w:w="17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41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0.67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200" w:type="dxa"/>
        <w:gridCol w:w="3220" w:type="dxa"/>
        <w:gridCol w:w="3840" w:type="dxa"/>
      </w:tblGrid>
      <w:tr>
        <w:trPr>
          <w:trHeight w:hRule="exact" w:val="230"/>
        </w:trPr>
        <w:tc>
          <w:tcPr>
            <w:tcW w:type="dxa" w:w="2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58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8406</w:t>
            </w:r>
          </w:p>
        </w:tc>
        <w:tc>
          <w:tcPr>
            <w:tcW w:type="dxa" w:w="3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590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0.6</w:t>
            </w:r>
          </w:p>
        </w:tc>
        <w:tc>
          <w:tcPr>
            <w:tcW w:type="dxa" w:w="3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10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0.46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3880" w:type="dxa"/>
        <w:gridCol w:w="3220" w:type="dxa"/>
        <w:gridCol w:w="2160" w:type="dxa"/>
      </w:tblGrid>
      <w:tr>
        <w:trPr>
          <w:trHeight w:hRule="exact" w:val="228"/>
        </w:trPr>
        <w:tc>
          <w:tcPr>
            <w:tcW w:type="dxa" w:w="38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226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8407</w:t>
            </w:r>
          </w:p>
        </w:tc>
        <w:tc>
          <w:tcPr>
            <w:tcW w:type="dxa" w:w="3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7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0.6</w:t>
            </w:r>
          </w:p>
        </w:tc>
        <w:tc>
          <w:tcPr>
            <w:tcW w:type="dxa" w:w="2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110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0.59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540" w:type="dxa"/>
        <w:gridCol w:w="3240" w:type="dxa"/>
        <w:gridCol w:w="3480" w:type="dxa"/>
      </w:tblGrid>
      <w:tr>
        <w:trPr>
          <w:trHeight w:hRule="exact" w:val="230"/>
        </w:trPr>
        <w:tc>
          <w:tcPr>
            <w:tcW w:type="dxa" w:w="25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9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8408</w:t>
            </w:r>
          </w:p>
        </w:tc>
        <w:tc>
          <w:tcPr>
            <w:tcW w:type="dxa" w:w="3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08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-0.4</w:t>
            </w:r>
          </w:p>
        </w:tc>
        <w:tc>
          <w:tcPr>
            <w:tcW w:type="dxa" w:w="34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10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0.77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200" w:type="dxa"/>
        <w:gridCol w:w="3220" w:type="dxa"/>
        <w:gridCol w:w="3840" w:type="dxa"/>
      </w:tblGrid>
      <w:tr>
        <w:trPr>
          <w:trHeight w:hRule="exact" w:val="230"/>
        </w:trPr>
        <w:tc>
          <w:tcPr>
            <w:tcW w:type="dxa" w:w="2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58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8409</w:t>
            </w:r>
          </w:p>
        </w:tc>
        <w:tc>
          <w:tcPr>
            <w:tcW w:type="dxa" w:w="3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590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0.4</w:t>
            </w:r>
          </w:p>
        </w:tc>
        <w:tc>
          <w:tcPr>
            <w:tcW w:type="dxa" w:w="3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10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0.62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3260" w:type="dxa"/>
        <w:gridCol w:w="3160" w:type="dxa"/>
        <w:gridCol w:w="2740" w:type="dxa"/>
      </w:tblGrid>
      <w:tr>
        <w:trPr>
          <w:trHeight w:hRule="exact" w:val="228"/>
        </w:trPr>
        <w:tc>
          <w:tcPr>
            <w:tcW w:type="dxa" w:w="32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64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8410</w:t>
            </w:r>
          </w:p>
        </w:tc>
        <w:tc>
          <w:tcPr>
            <w:tcW w:type="dxa" w:w="3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4" w:lineRule="exact" w:before="64" w:after="0"/>
              <w:ind w:left="0" w:right="144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</w:t>
            </w:r>
          </w:p>
        </w:tc>
        <w:tc>
          <w:tcPr>
            <w:tcW w:type="dxa" w:w="27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119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860" w:type="dxa"/>
        <w:gridCol w:w="3220" w:type="dxa"/>
        <w:gridCol w:w="4180" w:type="dxa"/>
      </w:tblGrid>
      <w:tr>
        <w:trPr>
          <w:trHeight w:hRule="exact" w:val="230"/>
        </w:trPr>
        <w:tc>
          <w:tcPr>
            <w:tcW w:type="dxa" w:w="18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24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8411</w:t>
            </w:r>
          </w:p>
        </w:tc>
        <w:tc>
          <w:tcPr>
            <w:tcW w:type="dxa" w:w="3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250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0.9</w:t>
            </w:r>
          </w:p>
        </w:tc>
        <w:tc>
          <w:tcPr>
            <w:tcW w:type="dxa" w:w="41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10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0.17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200" w:type="dxa"/>
        <w:gridCol w:w="2700" w:type="dxa"/>
        <w:gridCol w:w="2580" w:type="dxa"/>
        <w:gridCol w:w="1780" w:type="dxa"/>
      </w:tblGrid>
      <w:tr>
        <w:trPr>
          <w:trHeight w:hRule="exact" w:val="230"/>
        </w:trPr>
        <w:tc>
          <w:tcPr>
            <w:tcW w:type="dxa" w:w="2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58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8412</w:t>
            </w:r>
          </w:p>
        </w:tc>
        <w:tc>
          <w:tcPr>
            <w:tcW w:type="dxa" w:w="27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590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0.3</w:t>
            </w:r>
          </w:p>
        </w:tc>
        <w:tc>
          <w:tcPr>
            <w:tcW w:type="dxa" w:w="25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37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0.33</w:t>
            </w:r>
          </w:p>
        </w:tc>
        <w:tc>
          <w:tcPr>
            <w:tcW w:type="dxa" w:w="17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41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0.59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4220" w:type="dxa"/>
        <w:gridCol w:w="3260" w:type="dxa"/>
        <w:gridCol w:w="1780" w:type="dxa"/>
      </w:tblGrid>
      <w:tr>
        <w:trPr>
          <w:trHeight w:hRule="exact" w:val="230"/>
        </w:trPr>
        <w:tc>
          <w:tcPr>
            <w:tcW w:type="dxa" w:w="4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260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8413</w:t>
            </w:r>
          </w:p>
        </w:tc>
        <w:tc>
          <w:tcPr>
            <w:tcW w:type="dxa" w:w="32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40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-0.3</w:t>
            </w:r>
          </w:p>
        </w:tc>
        <w:tc>
          <w:tcPr>
            <w:tcW w:type="dxa" w:w="17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41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0.58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200" w:type="dxa"/>
        <w:gridCol w:w="3220" w:type="dxa"/>
        <w:gridCol w:w="3840" w:type="dxa"/>
      </w:tblGrid>
      <w:tr>
        <w:trPr>
          <w:trHeight w:hRule="exact" w:val="230"/>
        </w:trPr>
        <w:tc>
          <w:tcPr>
            <w:tcW w:type="dxa" w:w="2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58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8414</w:t>
            </w:r>
          </w:p>
        </w:tc>
        <w:tc>
          <w:tcPr>
            <w:tcW w:type="dxa" w:w="3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590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</w:t>
            </w:r>
          </w:p>
        </w:tc>
        <w:tc>
          <w:tcPr>
            <w:tcW w:type="dxa" w:w="3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10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0.45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540" w:type="dxa"/>
        <w:gridCol w:w="3260" w:type="dxa"/>
        <w:gridCol w:w="3460" w:type="dxa"/>
      </w:tblGrid>
      <w:tr>
        <w:trPr>
          <w:trHeight w:hRule="exact" w:val="230"/>
        </w:trPr>
        <w:tc>
          <w:tcPr>
            <w:tcW w:type="dxa" w:w="25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9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8415</w:t>
            </w:r>
          </w:p>
        </w:tc>
        <w:tc>
          <w:tcPr>
            <w:tcW w:type="dxa" w:w="32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07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0.79</w:t>
            </w:r>
          </w:p>
        </w:tc>
        <w:tc>
          <w:tcPr>
            <w:tcW w:type="dxa" w:w="34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10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0.28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540" w:type="dxa"/>
        <w:gridCol w:w="3260" w:type="dxa"/>
        <w:gridCol w:w="3460" w:type="dxa"/>
      </w:tblGrid>
      <w:tr>
        <w:trPr>
          <w:trHeight w:hRule="exact" w:val="230"/>
        </w:trPr>
        <w:tc>
          <w:tcPr>
            <w:tcW w:type="dxa" w:w="25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9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8416</w:t>
            </w:r>
          </w:p>
        </w:tc>
        <w:tc>
          <w:tcPr>
            <w:tcW w:type="dxa" w:w="32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207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0.67</w:t>
            </w:r>
          </w:p>
        </w:tc>
        <w:tc>
          <w:tcPr>
            <w:tcW w:type="dxa" w:w="34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10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0.54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3540" w:type="dxa"/>
        <w:gridCol w:w="3220" w:type="dxa"/>
        <w:gridCol w:w="2500" w:type="dxa"/>
      </w:tblGrid>
      <w:tr>
        <w:trPr>
          <w:trHeight w:hRule="exact" w:val="228"/>
        </w:trPr>
        <w:tc>
          <w:tcPr>
            <w:tcW w:type="dxa" w:w="35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92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ME 8417</w:t>
            </w:r>
          </w:p>
        </w:tc>
        <w:tc>
          <w:tcPr>
            <w:tcW w:type="dxa" w:w="3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109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</w:t>
            </w:r>
          </w:p>
        </w:tc>
        <w:tc>
          <w:tcPr>
            <w:tcW w:type="dxa" w:w="25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0.32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720" w:type="dxa"/>
        <w:gridCol w:w="1520" w:type="dxa"/>
        <w:gridCol w:w="2900" w:type="dxa"/>
        <w:gridCol w:w="3120" w:type="dxa"/>
      </w:tblGrid>
      <w:tr>
        <w:trPr>
          <w:trHeight w:hRule="exact" w:val="230"/>
        </w:trPr>
        <w:tc>
          <w:tcPr>
            <w:tcW w:type="dxa" w:w="1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0" w:lineRule="exact" w:before="60" w:after="0"/>
              <w:ind w:left="0" w:right="39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GPA</w:t>
            </w:r>
          </w:p>
        </w:tc>
        <w:tc>
          <w:tcPr>
            <w:tcW w:type="dxa" w:w="15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94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0.3</w:t>
            </w:r>
          </w:p>
        </w:tc>
        <w:tc>
          <w:tcPr>
            <w:tcW w:type="dxa" w:w="29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73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0.4</w:t>
            </w:r>
          </w:p>
        </w:tc>
        <w:tc>
          <w:tcPr>
            <w:tcW w:type="dxa" w:w="3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2" w:after="0"/>
              <w:ind w:left="0" w:right="110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-0.04</w:t>
            </w:r>
          </w:p>
        </w:tc>
      </w:tr>
    </w:tbl>
    <w:p>
      <w:pPr>
        <w:autoSpaceDN w:val="0"/>
        <w:autoSpaceDE w:val="0"/>
        <w:widowControl/>
        <w:spacing w:line="224" w:lineRule="exact" w:before="196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i/>
          <w:color w:val="000000"/>
          <w:sz w:val="18"/>
        </w:rPr>
        <w:t>4.12.2</w:t>
      </w:r>
      <w:r>
        <w:rPr>
          <w:spacing w:val="-10"/>
          <w:w w:val="102.22222010294597"/>
          <w:rFonts w:ascii="MyriadPro" w:hAnsi="MyriadPro" w:eastAsia="MyriadPro"/>
          <w:b/>
          <w:i/>
          <w:color w:val="000000"/>
          <w:sz w:val="18"/>
        </w:rPr>
        <w:t xml:space="preserve"> </w:t>
      </w:r>
      <w:r>
        <w:rPr>
          <w:spacing w:val="-10"/>
          <w:w w:val="102.22222010294597"/>
          <w:rFonts w:ascii="MyriadPro" w:hAnsi="MyriadPro" w:eastAsia="MyriadPro"/>
          <w:b/>
          <w:i/>
          <w:color w:val="000000"/>
          <w:sz w:val="18"/>
        </w:rPr>
        <w:t>Course-specific loadings</w:t>
      </w:r>
    </w:p>
    <w:p>
      <w:pPr>
        <w:autoSpaceDN w:val="0"/>
        <w:autoSpaceDE w:val="0"/>
        <w:widowControl/>
        <w:spacing w:line="176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Table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116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shows that CS 8406 contributes to Factors 1 (0.3) and 4 (0.40) with moderate</w:t>
      </w:r>
    </w:p>
    <w:p>
      <w:pPr>
        <w:autoSpaceDN w:val="0"/>
        <w:autoSpaceDE w:val="0"/>
        <w:widowControl/>
        <w:spacing w:line="290" w:lineRule="exact" w:before="62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uniqueness (0.60), indicating its influence on general academic trends. ME 8401 exhibits</w:t>
      </w:r>
    </w:p>
    <w:p>
      <w:pPr>
        <w:autoSpaceDN w:val="0"/>
        <w:autoSpaceDE w:val="0"/>
        <w:widowControl/>
        <w:spacing w:line="190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 high loading on Factor 1 (0.5) and a low uniqueness (0.31), suggesting that it aligns</w:t>
      </w:r>
    </w:p>
    <w:p>
      <w:pPr>
        <w:autoSpaceDN w:val="0"/>
        <w:autoSpaceDE w:val="0"/>
        <w:widowControl/>
        <w:spacing w:line="186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closely with the primary latent construct representing overall performance. ME 8411</w:t>
      </w:r>
    </w:p>
    <w:p>
      <w:pPr>
        <w:autoSpaceDN w:val="0"/>
        <w:autoSpaceDE w:val="0"/>
        <w:widowControl/>
        <w:spacing w:line="190" w:lineRule="exact" w:before="9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exhibits an extreme loading on Factor 1 (0.9) with minimal uniqueness (0.17), making</w:t>
      </w:r>
    </w:p>
    <w:p>
      <w:pPr>
        <w:autoSpaceDN w:val="0"/>
        <w:autoSpaceDE w:val="0"/>
        <w:widowControl/>
        <w:spacing w:line="186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it a critical variable in explaining general academic success. ME 8403 strongly loads on</w:t>
      </w:r>
    </w:p>
    <w:p>
      <w:pPr>
        <w:autoSpaceDN w:val="0"/>
        <w:autoSpaceDE w:val="0"/>
        <w:widowControl/>
        <w:spacing w:line="190" w:lineRule="exact" w:before="9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Factor 4 (0.8), while ME 8410 has the highest loading on Factor 5 (1.0), indicating that</w:t>
      </w:r>
    </w:p>
    <w:p>
      <w:pPr>
        <w:autoSpaceDN w:val="0"/>
        <w:autoSpaceDE w:val="0"/>
        <w:widowControl/>
        <w:spacing w:line="290" w:lineRule="exact" w:before="48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these courses are significant contributors to their respective factors.</w:t>
      </w:r>
    </w:p>
    <w:p>
      <w:pPr>
        <w:autoSpaceDN w:val="0"/>
        <w:autoSpaceDE w:val="0"/>
        <w:widowControl/>
        <w:spacing w:line="132" w:lineRule="exact" w:before="332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i/>
          <w:color w:val="000000"/>
          <w:sz w:val="18"/>
        </w:rPr>
        <w:t>4.12.3 Other notable variables</w:t>
      </w:r>
    </w:p>
    <w:p>
      <w:pPr>
        <w:autoSpaceDN w:val="0"/>
        <w:autoSpaceDE w:val="0"/>
        <w:widowControl/>
        <w:spacing w:line="186" w:lineRule="exact" w:before="1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ME 8406 and ME 8409 loads onto Factor 2 with moderate values (0.6 and 0.4, respec­</w:t>
      </w:r>
    </w:p>
    <w:p>
      <w:pPr>
        <w:autoSpaceDN w:val="0"/>
        <w:autoSpaceDE w:val="0"/>
        <w:widowControl/>
        <w:spacing w:line="190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tively). ME 8417 is highly associated with Factor 6 (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r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=0.8) and exhibits low uniqueness</w:t>
      </w:r>
    </w:p>
    <w:p>
      <w:pPr>
        <w:autoSpaceDN w:val="0"/>
        <w:autoSpaceDE w:val="0"/>
        <w:widowControl/>
        <w:spacing w:line="200" w:lineRule="exact" w:before="8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(r² = 0.32). Negative loadings are observed for ME 8408 (-0.4 on Factor 3) and ME 8413</w:t>
      </w:r>
    </w:p>
    <w:p>
      <w:pPr>
        <w:autoSpaceDN w:val="0"/>
        <w:autoSpaceDE w:val="0"/>
        <w:widowControl/>
        <w:spacing w:line="190" w:lineRule="exact" w:before="92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(-0.3 on Factor 8), indicating inverse relationships with these latent constructs.</w:t>
      </w:r>
    </w:p>
    <w:p>
      <w:pPr>
        <w:autoSpaceDN w:val="0"/>
        <w:autoSpaceDE w:val="0"/>
        <w:widowControl/>
        <w:spacing w:line="166" w:lineRule="exact" w:before="38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4.13 Uniqueness values</w:t>
      </w:r>
    </w:p>
    <w:p>
      <w:pPr>
        <w:autoSpaceDN w:val="0"/>
        <w:autoSpaceDE w:val="0"/>
        <w:widowControl/>
        <w:spacing w:line="290" w:lineRule="exact" w:before="62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High uniqueness values for specific courses, such as ME 8404 (0.78) and ME 8402 (0.55),</w:t>
      </w:r>
    </w:p>
    <w:p>
      <w:pPr>
        <w:autoSpaceDN w:val="0"/>
        <w:autoSpaceDE w:val="0"/>
        <w:widowControl/>
        <w:spacing w:line="186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suggest that a substantial portion of their variance is not accounted for by the common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latent factors. This suggests that these courses may be shaped by unique instructional</w:t>
      </w:r>
    </w:p>
    <w:p>
      <w:pPr>
        <w:autoSpaceDN w:val="0"/>
        <w:autoSpaceDE w:val="0"/>
        <w:widowControl/>
        <w:spacing w:line="182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approaches, specialised content, or assessment methods not shared with other courses.</w:t>
      </w:r>
    </w:p>
    <w:p>
      <w:pPr>
        <w:autoSpaceDN w:val="0"/>
        <w:autoSpaceDE w:val="0"/>
        <w:widowControl/>
        <w:spacing w:line="290" w:lineRule="exact" w:before="5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As noted by Abdi and Williams [</w:t>
      </w:r>
      <w:hyperlink r:id="rId71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uniqueness reflects variable-specific variance that</w:t>
      </w:r>
    </w:p>
    <w:p>
      <w:pPr>
        <w:autoSpaceDN w:val="0"/>
        <w:autoSpaceDE w:val="0"/>
        <w:widowControl/>
        <w:spacing w:line="186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remains unexplained by the factor model, implying that such variables may not align</w:t>
      </w:r>
    </w:p>
    <w:p>
      <w:pPr>
        <w:autoSpaceDN w:val="0"/>
        <w:autoSpaceDE w:val="0"/>
        <w:widowControl/>
        <w:spacing w:line="290" w:lineRule="exact" w:before="5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well with the general performance structure identified through factor analysis.</w:t>
      </w:r>
    </w:p>
    <w:p>
      <w:pPr>
        <w:sectPr>
          <w:pgSz w:w="11906" w:h="15874"/>
          <w:pgMar w:top="240" w:right="240" w:bottom="206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3496310</wp:posOffset>
            </wp:positionH>
            <wp:positionV relativeFrom="page">
              <wp:posOffset>6511290</wp:posOffset>
            </wp:positionV>
            <wp:extent cx="63500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23"/>
                    <a:stretch>
                      <a:fillRect/>
                    </a:stretch>
                  </pic:blipFill>
                  <pic:spPr>
                    <a:xfrm>
                      <a:off x="0" y="0"/>
                      <a:ext cx="63500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6511290</wp:posOffset>
            </wp:positionV>
            <wp:extent cx="116586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24"/>
                    <a:stretch>
                      <a:fillRect/>
                    </a:stretch>
                  </pic:blipFill>
                  <pic:spPr>
                    <a:xfrm>
                      <a:off x="0" y="0"/>
                      <a:ext cx="116586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2659380</wp:posOffset>
            </wp:positionH>
            <wp:positionV relativeFrom="page">
              <wp:posOffset>6511290</wp:posOffset>
            </wp:positionV>
            <wp:extent cx="83693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25"/>
                    <a:stretch>
                      <a:fillRect/>
                    </a:stretch>
                  </pic:blipFill>
                  <pic:spPr>
                    <a:xfrm>
                      <a:off x="0" y="0"/>
                      <a:ext cx="83693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4131310</wp:posOffset>
            </wp:positionH>
            <wp:positionV relativeFrom="page">
              <wp:posOffset>6511290</wp:posOffset>
            </wp:positionV>
            <wp:extent cx="125476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26"/>
                    <a:stretch>
                      <a:fillRect/>
                    </a:stretch>
                  </pic:blipFill>
                  <pic:spPr>
                    <a:xfrm>
                      <a:off x="0" y="0"/>
                      <a:ext cx="125476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5386070</wp:posOffset>
            </wp:positionH>
            <wp:positionV relativeFrom="page">
              <wp:posOffset>6362700</wp:posOffset>
            </wp:positionV>
            <wp:extent cx="67945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10"/>
                    <a:stretch>
                      <a:fillRect/>
                    </a:stretch>
                  </pic:blipFill>
                  <pic:spPr>
                    <a:xfrm>
                      <a:off x="0" y="0"/>
                      <a:ext cx="67945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5386070</wp:posOffset>
            </wp:positionH>
            <wp:positionV relativeFrom="page">
              <wp:posOffset>6511290</wp:posOffset>
            </wp:positionV>
            <wp:extent cx="67945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27"/>
                    <a:stretch>
                      <a:fillRect/>
                    </a:stretch>
                  </pic:blipFill>
                  <pic:spPr>
                    <a:xfrm>
                      <a:off x="0" y="0"/>
                      <a:ext cx="67945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9326880</wp:posOffset>
            </wp:positionV>
            <wp:extent cx="457200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79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780" w:type="dxa"/>
        <w:gridCol w:w="406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7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14 of 18</w:t>
            </w:r>
          </w:p>
        </w:tc>
      </w:tr>
    </w:tbl>
    <w:p>
      <w:pPr>
        <w:autoSpaceDN w:val="0"/>
        <w:autoSpaceDE w:val="0"/>
        <w:widowControl/>
        <w:spacing w:line="126" w:lineRule="exact" w:before="786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4.14 Latent structure</w:t>
      </w:r>
    </w:p>
    <w:p>
      <w:pPr>
        <w:autoSpaceDN w:val="0"/>
        <w:autoSpaceDE w:val="0"/>
        <w:widowControl/>
        <w:spacing w:line="186" w:lineRule="exact" w:before="142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Factor 1 appears to represent general academic performance, as it exhibits strong asso­</w:t>
      </w:r>
    </w:p>
    <w:p>
      <w:pPr>
        <w:autoSpaceDN w:val="0"/>
        <w:autoSpaceDE w:val="0"/>
        <w:widowControl/>
        <w:spacing w:line="188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ciations with several key variables, including GPA, CS 8406, ME 8401, and ME 8411,</w:t>
      </w:r>
    </w:p>
    <w:p>
      <w:pPr>
        <w:autoSpaceDN w:val="0"/>
        <w:autoSpaceDE w:val="0"/>
        <w:widowControl/>
        <w:spacing w:line="282" w:lineRule="exact" w:before="58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suggesting a broad, underlying competency that influences overall achievement. In con­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trast, Factors 4 and 5 seem to capture more specialised or course-specific trends, with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ME 8403 and ME 8410 contributing heavily to each respective factor. The use of oblimin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rotation was appropriate for this analysis, as it allows for factors to be correlated, reflect­</w:t>
      </w:r>
    </w:p>
    <w:p>
      <w:pPr>
        <w:autoSpaceDN w:val="0"/>
        <w:autoSpaceDE w:val="0"/>
        <w:widowControl/>
        <w:spacing w:line="186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ing the real-world nature of educational performance, where skills and knowledge areas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often overlap. According to Jolliffe and Cadima [</w:t>
      </w:r>
      <w:hyperlink r:id="rId7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such rotation methods are essential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when interpreting data from domains like education, where orthogonality (i.e., complete</w:t>
      </w:r>
    </w:p>
    <w:p>
      <w:pPr>
        <w:autoSpaceDN w:val="0"/>
        <w:autoSpaceDE w:val="0"/>
        <w:widowControl/>
        <w:spacing w:line="190" w:lineRule="exact" w:before="9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independence between components) is unrealistic and may mask meaningful relation­</w:t>
      </w:r>
    </w:p>
    <w:p>
      <w:pPr>
        <w:autoSpaceDN w:val="0"/>
        <w:autoSpaceDE w:val="0"/>
        <w:widowControl/>
        <w:spacing w:line="184" w:lineRule="exact" w:before="96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ships between latent traits.</w:t>
      </w:r>
    </w:p>
    <w:p>
      <w:pPr>
        <w:autoSpaceDN w:val="0"/>
        <w:autoSpaceDE w:val="0"/>
        <w:widowControl/>
        <w:spacing w:line="174" w:lineRule="exact" w:before="38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4.15 E</w:t>
      </w:r>
      <w:hyperlink r:id="rId122" w:history="1">
        <w:r>
          <w:rPr>
            <w:rStyle w:val="Hyperlink"/>
            <w:rFonts w:ascii="MyriadPro" w:hAnsi="MyriadPro" w:eastAsia="MyriadPro" w:cs="MyriadPro"/>
            <w:sz w:val="18.399999618530273"/>
            <w:b/>
            <w:color w:val="000000"/>
            <w:w w:val="102.22222010294597"/>
            <w:spacing w:val="-10"/>
          </w:rPr>
          <w:t>i</w:t>
        </w:r>
      </w:hyperlink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genvalue analysis for principal component extraction and variance assessment</w:t>
      </w:r>
    </w:p>
    <w:p>
      <w:pPr>
        <w:autoSpaceDN w:val="0"/>
        <w:autoSpaceDE w:val="0"/>
        <w:widowControl/>
        <w:spacing w:line="190" w:lineRule="exact" w:before="10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Table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122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6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details the eigenvalues derived from Principal Component Analysis (PCA), high­</w:t>
      </w:r>
    </w:p>
    <w:p>
      <w:pPr>
        <w:autoSpaceDN w:val="0"/>
        <w:autoSpaceDE w:val="0"/>
        <w:widowControl/>
        <w:spacing w:line="186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lighting how variance is distributed across components and guiding the dimensional­</w:t>
      </w:r>
    </w:p>
    <w:p>
      <w:pPr>
        <w:autoSpaceDN w:val="0"/>
        <w:autoSpaceDE w:val="0"/>
        <w:widowControl/>
        <w:spacing w:line="188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ity reduction process. Component 1, with an eigenvalue of 5.78, explains 30.40% of the</w:t>
      </w:r>
    </w:p>
    <w:p>
      <w:pPr>
        <w:autoSpaceDN w:val="0"/>
        <w:autoSpaceDE w:val="0"/>
        <w:widowControl/>
        <w:spacing w:line="186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total variance, capturing the most dominant pattern in student performance. Compo­</w:t>
      </w:r>
    </w:p>
    <w:p>
      <w:pPr>
        <w:autoSpaceDN w:val="0"/>
        <w:autoSpaceDE w:val="0"/>
        <w:widowControl/>
        <w:spacing w:line="188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nent 2, with an eigenvalue of 1.61, contributes an additional 8.49%, bringing the cumu­</w:t>
      </w:r>
    </w:p>
    <w:p>
      <w:pPr>
        <w:autoSpaceDN w:val="0"/>
        <w:autoSpaceDE w:val="0"/>
        <w:widowControl/>
        <w:spacing w:line="186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lative explained variance to 38.90%, following the Kaiser criterion, which recommends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retaining factors with eigenvalues greater than 1 [</w:t>
      </w:r>
      <w:hyperlink r:id="rId109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the first five components are con­</w:t>
      </w:r>
    </w:p>
    <w:p>
      <w:pPr>
        <w:autoSpaceDN w:val="0"/>
        <w:autoSpaceDE w:val="0"/>
        <w:widowControl/>
        <w:spacing w:line="292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sidered significant. Indeed, Component 3 adds 6.97%, Component 4 contributes 6.47%,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Component 5 yields 5.86%, together elevating the cumulative variance explained to</w:t>
      </w:r>
    </w:p>
    <w:p>
      <w:pPr>
        <w:autoSpaceDN w:val="0"/>
        <w:autoSpaceDE w:val="0"/>
        <w:widowControl/>
        <w:spacing w:line="282" w:lineRule="exact" w:before="58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58.20%. Components beyond the fifth have eigenvalues below 1 and thus are deemed less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informative, typically capturing noise or minor patterns. The scree (elbow) plot further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justifies this selection, showing a clear inflexion point past Component 5 where eigen­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values begin to plateau [</w:t>
      </w:r>
      <w:hyperlink r:id="rId115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indicating diminishing returns. As Jolliffe (2002) emphasises,</w:t>
      </w:r>
    </w:p>
    <w:p>
      <w:pPr>
        <w:autoSpaceDN w:val="0"/>
        <w:autoSpaceDE w:val="0"/>
        <w:widowControl/>
        <w:spacing w:line="186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retaining components that balance explained variance with interpretability enhances</w:t>
      </w:r>
    </w:p>
    <w:p>
      <w:pPr>
        <w:autoSpaceDN w:val="0"/>
        <w:autoSpaceDE w:val="0"/>
        <w:widowControl/>
        <w:spacing w:line="166" w:lineRule="exact" w:before="334" w:after="4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8"/>
          <w:u w:val="single"/>
        </w:rPr>
        <w:t>Table 6</w:t>
      </w:r>
      <w:r>
        <w:rPr>
          <w:spacing w:val="-10"/>
          <w:rFonts w:ascii="MyriadPro" w:hAnsi="MyriadPro" w:eastAsia="MyriadPro"/>
          <w:color w:val="000000"/>
          <w:sz w:val="18"/>
          <w:u w:val="single"/>
        </w:rPr>
        <w:t xml:space="preserve"> Component nu</w:t>
      </w:r>
      <w:r>
        <w:rPr>
          <w:spacing w:val="-10"/>
          <w:rFonts w:ascii="MyriadPro" w:hAnsi="MyriadPro" w:eastAsia="MyriadPro"/>
          <w:color w:val="000000"/>
          <w:sz w:val="18"/>
          <w:u w:val="single"/>
        </w:rPr>
        <w:t>mber, eigenvalue and variance ex</w:t>
      </w:r>
      <w:r>
        <w:rPr>
          <w:spacing w:val="-10"/>
          <w:rFonts w:ascii="MyriadPro" w:hAnsi="MyriadPro" w:eastAsia="MyriadPro"/>
          <w:color w:val="000000"/>
          <w:sz w:val="18"/>
          <w:u w:val="single"/>
        </w:rPr>
        <w:t>plained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400" w:type="dxa"/>
        <w:gridCol w:w="2040" w:type="dxa"/>
        <w:gridCol w:w="2220" w:type="dxa"/>
        <w:gridCol w:w="2600" w:type="dxa"/>
      </w:tblGrid>
      <w:tr>
        <w:trPr>
          <w:trHeight w:hRule="exact" w:val="236"/>
        </w:trPr>
        <w:tc>
          <w:tcPr>
            <w:tcW w:type="dxa" w:w="24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2" w:lineRule="exact" w:before="46" w:after="0"/>
              <w:ind w:left="0" w:right="506" w:firstLine="0"/>
              <w:jc w:val="righ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Component</w:t>
            </w:r>
          </w:p>
        </w:tc>
        <w:tc>
          <w:tcPr>
            <w:tcW w:type="dxa" w:w="20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6" w:lineRule="exact" w:before="42" w:after="0"/>
              <w:ind w:left="50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Eigenvalue</w:t>
            </w:r>
          </w:p>
        </w:tc>
        <w:tc>
          <w:tcPr>
            <w:tcW w:type="dxa" w:w="22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8" w:lineRule="exact" w:before="40" w:after="0"/>
              <w:ind w:left="0" w:right="508" w:firstLine="0"/>
              <w:jc w:val="righ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% of variance</w:t>
            </w:r>
          </w:p>
        </w:tc>
        <w:tc>
          <w:tcPr>
            <w:tcW w:type="dxa" w:w="2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6" w:lineRule="exact" w:before="42" w:after="0"/>
              <w:ind w:left="542" w:right="0" w:firstLine="0"/>
              <w:jc w:val="left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Cumulative %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20" w:type="dxa"/>
        <w:gridCol w:w="1660" w:type="dxa"/>
        <w:gridCol w:w="2160" w:type="dxa"/>
        <w:gridCol w:w="3080" w:type="dxa"/>
      </w:tblGrid>
      <w:tr>
        <w:trPr>
          <w:trHeight w:hRule="exact" w:val="214"/>
        </w:trPr>
        <w:tc>
          <w:tcPr>
            <w:tcW w:type="dxa" w:w="2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4" w:lineRule="exact" w:before="48" w:after="0"/>
              <w:ind w:left="0" w:right="87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</w:t>
            </w:r>
          </w:p>
        </w:tc>
        <w:tc>
          <w:tcPr>
            <w:tcW w:type="dxa" w:w="16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48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5.78</w:t>
            </w:r>
          </w:p>
        </w:tc>
        <w:tc>
          <w:tcPr>
            <w:tcW w:type="dxa" w:w="2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48" w:after="0"/>
              <w:ind w:left="0" w:right="13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30.4</w:t>
            </w:r>
          </w:p>
        </w:tc>
        <w:tc>
          <w:tcPr>
            <w:tcW w:type="dxa" w:w="30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48" w:after="0"/>
              <w:ind w:left="0" w:right="145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30.4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20" w:type="dxa"/>
        <w:gridCol w:w="1660" w:type="dxa"/>
        <w:gridCol w:w="2160" w:type="dxa"/>
        <w:gridCol w:w="3080" w:type="dxa"/>
      </w:tblGrid>
      <w:tr>
        <w:trPr>
          <w:trHeight w:hRule="exact" w:val="228"/>
        </w:trPr>
        <w:tc>
          <w:tcPr>
            <w:tcW w:type="dxa" w:w="2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0" w:after="0"/>
              <w:ind w:left="0" w:right="87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2</w:t>
            </w:r>
          </w:p>
        </w:tc>
        <w:tc>
          <w:tcPr>
            <w:tcW w:type="dxa" w:w="16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1.61</w:t>
            </w:r>
          </w:p>
        </w:tc>
        <w:tc>
          <w:tcPr>
            <w:tcW w:type="dxa" w:w="2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3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8.49</w:t>
            </w:r>
          </w:p>
        </w:tc>
        <w:tc>
          <w:tcPr>
            <w:tcW w:type="dxa" w:w="30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45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38.9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20" w:type="dxa"/>
        <w:gridCol w:w="1660" w:type="dxa"/>
        <w:gridCol w:w="2160" w:type="dxa"/>
        <w:gridCol w:w="3120" w:type="dxa"/>
      </w:tblGrid>
      <w:tr>
        <w:trPr>
          <w:trHeight w:hRule="exact" w:val="228"/>
        </w:trPr>
        <w:tc>
          <w:tcPr>
            <w:tcW w:type="dxa" w:w="2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87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3</w:t>
            </w:r>
          </w:p>
        </w:tc>
        <w:tc>
          <w:tcPr>
            <w:tcW w:type="dxa" w:w="16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1.33</w:t>
            </w:r>
          </w:p>
        </w:tc>
        <w:tc>
          <w:tcPr>
            <w:tcW w:type="dxa" w:w="2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3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6.97</w:t>
            </w:r>
          </w:p>
        </w:tc>
        <w:tc>
          <w:tcPr>
            <w:tcW w:type="dxa" w:w="3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45.87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20" w:type="dxa"/>
        <w:gridCol w:w="1660" w:type="dxa"/>
        <w:gridCol w:w="2160" w:type="dxa"/>
        <w:gridCol w:w="3120" w:type="dxa"/>
      </w:tblGrid>
      <w:tr>
        <w:trPr>
          <w:trHeight w:hRule="exact" w:val="226"/>
        </w:trPr>
        <w:tc>
          <w:tcPr>
            <w:tcW w:type="dxa" w:w="2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4" w:lineRule="exact" w:before="62" w:after="0"/>
              <w:ind w:left="0" w:right="87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4</w:t>
            </w:r>
          </w:p>
        </w:tc>
        <w:tc>
          <w:tcPr>
            <w:tcW w:type="dxa" w:w="16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0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1.23</w:t>
            </w:r>
          </w:p>
        </w:tc>
        <w:tc>
          <w:tcPr>
            <w:tcW w:type="dxa" w:w="2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0" w:after="0"/>
              <w:ind w:left="0" w:right="13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6.47</w:t>
            </w:r>
          </w:p>
        </w:tc>
        <w:tc>
          <w:tcPr>
            <w:tcW w:type="dxa" w:w="3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52.34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20" w:type="dxa"/>
        <w:gridCol w:w="1660" w:type="dxa"/>
        <w:gridCol w:w="2160" w:type="dxa"/>
        <w:gridCol w:w="3080" w:type="dxa"/>
      </w:tblGrid>
      <w:tr>
        <w:trPr>
          <w:trHeight w:hRule="exact" w:val="228"/>
        </w:trPr>
        <w:tc>
          <w:tcPr>
            <w:tcW w:type="dxa" w:w="2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87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</w:t>
            </w:r>
          </w:p>
        </w:tc>
        <w:tc>
          <w:tcPr>
            <w:tcW w:type="dxa" w:w="16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1.11</w:t>
            </w:r>
          </w:p>
        </w:tc>
        <w:tc>
          <w:tcPr>
            <w:tcW w:type="dxa" w:w="2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3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5.86</w:t>
            </w:r>
          </w:p>
        </w:tc>
        <w:tc>
          <w:tcPr>
            <w:tcW w:type="dxa" w:w="30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45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58.2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20" w:type="dxa"/>
        <w:gridCol w:w="1660" w:type="dxa"/>
        <w:gridCol w:w="2160" w:type="dxa"/>
        <w:gridCol w:w="3120" w:type="dxa"/>
      </w:tblGrid>
      <w:tr>
        <w:trPr>
          <w:trHeight w:hRule="exact" w:val="228"/>
        </w:trPr>
        <w:tc>
          <w:tcPr>
            <w:tcW w:type="dxa" w:w="2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87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</w:t>
            </w:r>
          </w:p>
        </w:tc>
        <w:tc>
          <w:tcPr>
            <w:tcW w:type="dxa" w:w="16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0.99</w:t>
            </w:r>
          </w:p>
        </w:tc>
        <w:tc>
          <w:tcPr>
            <w:tcW w:type="dxa" w:w="2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3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5.21</w:t>
            </w:r>
          </w:p>
        </w:tc>
        <w:tc>
          <w:tcPr>
            <w:tcW w:type="dxa" w:w="3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63.41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20" w:type="dxa"/>
        <w:gridCol w:w="1620" w:type="dxa"/>
        <w:gridCol w:w="2200" w:type="dxa"/>
        <w:gridCol w:w="3120" w:type="dxa"/>
      </w:tblGrid>
      <w:tr>
        <w:trPr>
          <w:trHeight w:hRule="exact" w:val="228"/>
        </w:trPr>
        <w:tc>
          <w:tcPr>
            <w:tcW w:type="dxa" w:w="2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4" w:lineRule="exact" w:before="62" w:after="0"/>
              <w:ind w:left="0" w:right="87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7</w:t>
            </w:r>
          </w:p>
        </w:tc>
        <w:tc>
          <w:tcPr>
            <w:tcW w:type="dxa" w:w="1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54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0.9</w:t>
            </w:r>
          </w:p>
        </w:tc>
        <w:tc>
          <w:tcPr>
            <w:tcW w:type="dxa" w:w="2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0" w:after="0"/>
              <w:ind w:left="0" w:right="13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4.72</w:t>
            </w:r>
          </w:p>
        </w:tc>
        <w:tc>
          <w:tcPr>
            <w:tcW w:type="dxa" w:w="3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68.13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20" w:type="dxa"/>
        <w:gridCol w:w="1660" w:type="dxa"/>
        <w:gridCol w:w="2160" w:type="dxa"/>
        <w:gridCol w:w="3120" w:type="dxa"/>
      </w:tblGrid>
      <w:tr>
        <w:trPr>
          <w:trHeight w:hRule="exact" w:val="228"/>
        </w:trPr>
        <w:tc>
          <w:tcPr>
            <w:tcW w:type="dxa" w:w="2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87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8</w:t>
            </w:r>
          </w:p>
        </w:tc>
        <w:tc>
          <w:tcPr>
            <w:tcW w:type="dxa" w:w="16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0.82</w:t>
            </w:r>
          </w:p>
        </w:tc>
        <w:tc>
          <w:tcPr>
            <w:tcW w:type="dxa" w:w="2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3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4.33</w:t>
            </w:r>
          </w:p>
        </w:tc>
        <w:tc>
          <w:tcPr>
            <w:tcW w:type="dxa" w:w="3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72.47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20" w:type="dxa"/>
        <w:gridCol w:w="1660" w:type="dxa"/>
        <w:gridCol w:w="2160" w:type="dxa"/>
        <w:gridCol w:w="3120" w:type="dxa"/>
      </w:tblGrid>
      <w:tr>
        <w:trPr>
          <w:trHeight w:hRule="exact" w:val="228"/>
        </w:trPr>
        <w:tc>
          <w:tcPr>
            <w:tcW w:type="dxa" w:w="2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87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9</w:t>
            </w:r>
          </w:p>
        </w:tc>
        <w:tc>
          <w:tcPr>
            <w:tcW w:type="dxa" w:w="16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0.79</w:t>
            </w:r>
          </w:p>
        </w:tc>
        <w:tc>
          <w:tcPr>
            <w:tcW w:type="dxa" w:w="2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3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4.16</w:t>
            </w:r>
          </w:p>
        </w:tc>
        <w:tc>
          <w:tcPr>
            <w:tcW w:type="dxa" w:w="3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76.63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60" w:type="dxa"/>
        <w:gridCol w:w="1620" w:type="dxa"/>
        <w:gridCol w:w="2120" w:type="dxa"/>
        <w:gridCol w:w="3160" w:type="dxa"/>
      </w:tblGrid>
      <w:tr>
        <w:trPr>
          <w:trHeight w:hRule="exact" w:val="228"/>
        </w:trPr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83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10</w:t>
            </w:r>
          </w:p>
        </w:tc>
        <w:tc>
          <w:tcPr>
            <w:tcW w:type="dxa" w:w="1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0.72</w:t>
            </w:r>
          </w:p>
        </w:tc>
        <w:tc>
          <w:tcPr>
            <w:tcW w:type="dxa" w:w="2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39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3.8</w:t>
            </w:r>
          </w:p>
        </w:tc>
        <w:tc>
          <w:tcPr>
            <w:tcW w:type="dxa" w:w="3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80.43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60" w:type="dxa"/>
        <w:gridCol w:w="1620" w:type="dxa"/>
        <w:gridCol w:w="2160" w:type="dxa"/>
        <w:gridCol w:w="3120" w:type="dxa"/>
      </w:tblGrid>
      <w:tr>
        <w:trPr>
          <w:trHeight w:hRule="exact" w:val="228"/>
        </w:trPr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4" w:lineRule="exact" w:before="62" w:after="0"/>
              <w:ind w:left="0" w:right="83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11</w:t>
            </w:r>
          </w:p>
        </w:tc>
        <w:tc>
          <w:tcPr>
            <w:tcW w:type="dxa" w:w="1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0.67</w:t>
            </w:r>
          </w:p>
        </w:tc>
        <w:tc>
          <w:tcPr>
            <w:tcW w:type="dxa" w:w="2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3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3.52</w:t>
            </w:r>
          </w:p>
        </w:tc>
        <w:tc>
          <w:tcPr>
            <w:tcW w:type="dxa" w:w="3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83.95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60" w:type="dxa"/>
        <w:gridCol w:w="1620" w:type="dxa"/>
        <w:gridCol w:w="2160" w:type="dxa"/>
        <w:gridCol w:w="3020" w:type="dxa"/>
      </w:tblGrid>
      <w:tr>
        <w:trPr>
          <w:trHeight w:hRule="exact" w:val="228"/>
        </w:trPr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0" w:after="0"/>
              <w:ind w:left="0" w:right="83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12</w:t>
            </w:r>
          </w:p>
        </w:tc>
        <w:tc>
          <w:tcPr>
            <w:tcW w:type="dxa" w:w="1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0.58</w:t>
            </w:r>
          </w:p>
        </w:tc>
        <w:tc>
          <w:tcPr>
            <w:tcW w:type="dxa" w:w="2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3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3.05</w:t>
            </w:r>
          </w:p>
        </w:tc>
        <w:tc>
          <w:tcPr>
            <w:tcW w:type="dxa" w:w="30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50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87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60" w:type="dxa"/>
        <w:gridCol w:w="1620" w:type="dxa"/>
        <w:gridCol w:w="2120" w:type="dxa"/>
        <w:gridCol w:w="3160" w:type="dxa"/>
      </w:tblGrid>
      <w:tr>
        <w:trPr>
          <w:trHeight w:hRule="exact" w:val="228"/>
        </w:trPr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83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13</w:t>
            </w:r>
          </w:p>
        </w:tc>
        <w:tc>
          <w:tcPr>
            <w:tcW w:type="dxa" w:w="1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0.53</w:t>
            </w:r>
          </w:p>
        </w:tc>
        <w:tc>
          <w:tcPr>
            <w:tcW w:type="dxa" w:w="2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39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2.8</w:t>
            </w:r>
          </w:p>
        </w:tc>
        <w:tc>
          <w:tcPr>
            <w:tcW w:type="dxa" w:w="3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89.79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60" w:type="dxa"/>
        <w:gridCol w:w="1580" w:type="dxa"/>
        <w:gridCol w:w="2200" w:type="dxa"/>
        <w:gridCol w:w="3080" w:type="dxa"/>
      </w:tblGrid>
      <w:tr>
        <w:trPr>
          <w:trHeight w:hRule="exact" w:val="226"/>
        </w:trPr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4" w:lineRule="exact" w:before="60" w:after="0"/>
              <w:ind w:left="0" w:right="83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14</w:t>
            </w:r>
          </w:p>
        </w:tc>
        <w:tc>
          <w:tcPr>
            <w:tcW w:type="dxa" w:w="15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0" w:after="0"/>
              <w:ind w:left="0" w:right="54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0.5</w:t>
            </w:r>
          </w:p>
        </w:tc>
        <w:tc>
          <w:tcPr>
            <w:tcW w:type="dxa" w:w="22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0" w:after="0"/>
              <w:ind w:left="0" w:right="13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2.61</w:t>
            </w:r>
          </w:p>
        </w:tc>
        <w:tc>
          <w:tcPr>
            <w:tcW w:type="dxa" w:w="30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0" w:after="0"/>
              <w:ind w:left="0" w:right="145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92.4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60" w:type="dxa"/>
        <w:gridCol w:w="1620" w:type="dxa"/>
        <w:gridCol w:w="2160" w:type="dxa"/>
        <w:gridCol w:w="3120" w:type="dxa"/>
      </w:tblGrid>
      <w:tr>
        <w:trPr>
          <w:trHeight w:hRule="exact" w:val="228"/>
        </w:trPr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83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15</w:t>
            </w:r>
          </w:p>
        </w:tc>
        <w:tc>
          <w:tcPr>
            <w:tcW w:type="dxa" w:w="1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0.42</w:t>
            </w:r>
          </w:p>
        </w:tc>
        <w:tc>
          <w:tcPr>
            <w:tcW w:type="dxa" w:w="2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3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2.23</w:t>
            </w:r>
          </w:p>
        </w:tc>
        <w:tc>
          <w:tcPr>
            <w:tcW w:type="dxa" w:w="3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94.63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60" w:type="dxa"/>
        <w:gridCol w:w="1620" w:type="dxa"/>
        <w:gridCol w:w="2160" w:type="dxa"/>
        <w:gridCol w:w="3120" w:type="dxa"/>
      </w:tblGrid>
      <w:tr>
        <w:trPr>
          <w:trHeight w:hRule="exact" w:val="228"/>
        </w:trPr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83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16</w:t>
            </w:r>
          </w:p>
        </w:tc>
        <w:tc>
          <w:tcPr>
            <w:tcW w:type="dxa" w:w="1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0.38</w:t>
            </w:r>
          </w:p>
        </w:tc>
        <w:tc>
          <w:tcPr>
            <w:tcW w:type="dxa" w:w="2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3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2.01</w:t>
            </w:r>
          </w:p>
        </w:tc>
        <w:tc>
          <w:tcPr>
            <w:tcW w:type="dxa" w:w="3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96.64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60" w:type="dxa"/>
        <w:gridCol w:w="1620" w:type="dxa"/>
        <w:gridCol w:w="2160" w:type="dxa"/>
        <w:gridCol w:w="3120" w:type="dxa"/>
      </w:tblGrid>
      <w:tr>
        <w:trPr>
          <w:trHeight w:hRule="exact" w:val="226"/>
        </w:trPr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4" w:lineRule="exact" w:before="62" w:after="0"/>
              <w:ind w:left="0" w:right="83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17</w:t>
            </w:r>
          </w:p>
        </w:tc>
        <w:tc>
          <w:tcPr>
            <w:tcW w:type="dxa" w:w="1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0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0.34</w:t>
            </w:r>
          </w:p>
        </w:tc>
        <w:tc>
          <w:tcPr>
            <w:tcW w:type="dxa" w:w="2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4" w:lineRule="exact" w:before="62" w:after="0"/>
              <w:ind w:left="0" w:right="13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1.77</w:t>
            </w:r>
          </w:p>
        </w:tc>
        <w:tc>
          <w:tcPr>
            <w:tcW w:type="dxa" w:w="3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98.41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60" w:type="dxa"/>
        <w:gridCol w:w="1620" w:type="dxa"/>
        <w:gridCol w:w="2120" w:type="dxa"/>
        <w:gridCol w:w="3160" w:type="dxa"/>
      </w:tblGrid>
      <w:tr>
        <w:trPr>
          <w:trHeight w:hRule="exact" w:val="228"/>
        </w:trPr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83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18</w:t>
            </w:r>
          </w:p>
        </w:tc>
        <w:tc>
          <w:tcPr>
            <w:tcW w:type="dxa" w:w="1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0.27</w:t>
            </w:r>
          </w:p>
        </w:tc>
        <w:tc>
          <w:tcPr>
            <w:tcW w:type="dxa" w:w="21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62" w:after="0"/>
              <w:ind w:left="0" w:right="139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1.4</w:t>
            </w:r>
          </w:p>
        </w:tc>
        <w:tc>
          <w:tcPr>
            <w:tcW w:type="dxa" w:w="3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99.81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060" w:type="dxa"/>
        <w:gridCol w:w="1620" w:type="dxa"/>
        <w:gridCol w:w="2160" w:type="dxa"/>
        <w:gridCol w:w="3060" w:type="dxa"/>
      </w:tblGrid>
      <w:tr>
        <w:trPr>
          <w:trHeight w:hRule="exact" w:val="176"/>
        </w:trPr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83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19</w:t>
            </w:r>
          </w:p>
        </w:tc>
        <w:tc>
          <w:tcPr>
            <w:tcW w:type="dxa" w:w="1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51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0.04</w:t>
            </w:r>
          </w:p>
        </w:tc>
        <w:tc>
          <w:tcPr>
            <w:tcW w:type="dxa" w:w="2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3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0.19</w:t>
            </w:r>
          </w:p>
        </w:tc>
        <w:tc>
          <w:tcPr>
            <w:tcW w:type="dxa" w:w="3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0" w:after="0"/>
              <w:ind w:left="0" w:right="146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100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sectPr>
          <w:pgSz w:w="11906" w:h="15874"/>
          <w:pgMar w:top="240" w:right="240" w:bottom="118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2635250</wp:posOffset>
            </wp:positionH>
            <wp:positionV relativeFrom="page">
              <wp:posOffset>1060450</wp:posOffset>
            </wp:positionV>
            <wp:extent cx="2286000" cy="23812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29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238125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780" w:type="dxa"/>
        <w:gridCol w:w="406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7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15 of 18</w:t>
            </w:r>
          </w:p>
        </w:tc>
      </w:tr>
    </w:tbl>
    <w:p>
      <w:pPr>
        <w:autoSpaceDN w:val="0"/>
        <w:autoSpaceDE w:val="0"/>
        <w:widowControl/>
        <w:spacing w:line="146" w:lineRule="exact" w:before="4758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6"/>
        </w:rPr>
        <w:t>Fig. 4</w:t>
      </w:r>
      <w:r>
        <w:rPr>
          <w:spacing w:val="-10"/>
          <w:rFonts w:ascii="MyriadPro" w:hAnsi="MyriadPro" w:eastAsia="MyriadPro"/>
          <w:color w:val="000000"/>
          <w:sz w:val="16"/>
        </w:rPr>
        <w:t xml:space="preserve"> The PCA variables plot</w:t>
      </w:r>
    </w:p>
    <w:p>
      <w:pPr>
        <w:autoSpaceDN w:val="0"/>
        <w:autoSpaceDE w:val="0"/>
        <w:widowControl/>
        <w:spacing w:line="282" w:lineRule="exact" w:before="118" w:after="0"/>
        <w:ind w:left="2112" w:right="2016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analytical clarity and robustness of PCA, ensuring that essential information is pre­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served while reducing redundancy.</w:t>
      </w:r>
    </w:p>
    <w:p>
      <w:pPr>
        <w:autoSpaceDN w:val="0"/>
        <w:autoSpaceDE w:val="0"/>
        <w:widowControl/>
        <w:spacing w:line="172" w:lineRule="exact" w:before="386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4.16 Patterns of course contributions and interdependencies revealed by PCA</w:t>
      </w:r>
    </w:p>
    <w:p>
      <w:pPr>
        <w:autoSpaceDN w:val="0"/>
        <w:autoSpaceDE w:val="0"/>
        <w:widowControl/>
        <w:spacing w:line="134" w:lineRule="exact" w:before="112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visualization</w:t>
      </w:r>
    </w:p>
    <w:p>
      <w:pPr>
        <w:autoSpaceDN w:val="0"/>
        <w:autoSpaceDE w:val="0"/>
        <w:widowControl/>
        <w:spacing w:line="290" w:lineRule="exact" w:before="9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PCA variables plot (Fig.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128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 illustrates the contributions and interrelationships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among performance indicators with respect to the first two principal components—</w:t>
      </w:r>
    </w:p>
    <w:p>
      <w:pPr>
        <w:autoSpaceDN w:val="0"/>
        <w:autoSpaceDE w:val="0"/>
        <w:widowControl/>
        <w:spacing w:line="256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Dim1, which explains 30.4%, and Dim2, which accounts for 8.5% of the total variance.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Each variable is represented by an arrow, whose length indicates the magnitude of its</w:t>
      </w:r>
    </w:p>
    <w:p>
      <w:pPr>
        <w:autoSpaceDN w:val="0"/>
        <w:autoSpaceDE w:val="0"/>
        <w:widowControl/>
        <w:spacing w:line="290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contribution, and direction reflects its correlation with the component axes. Courses</w:t>
      </w:r>
    </w:p>
    <w:p>
      <w:pPr>
        <w:autoSpaceDN w:val="0"/>
        <w:autoSpaceDE w:val="0"/>
        <w:widowControl/>
        <w:spacing w:line="256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such as ME 8414 and ME 8412, with long arrows near the perimeter, are strong contrib­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utors to Dim1, whereas ME 8408 and ME 8403, though less clearly positioned, appear</w:t>
      </w:r>
    </w:p>
    <w:p>
      <w:pPr>
        <w:autoSpaceDN w:val="0"/>
        <w:autoSpaceDE w:val="0"/>
        <w:widowControl/>
        <w:spacing w:line="142" w:lineRule="exact" w:before="96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more associated with Dim2.</w:t>
      </w:r>
    </w:p>
    <w:p>
      <w:pPr>
        <w:autoSpaceDN w:val="0"/>
        <w:autoSpaceDE w:val="0"/>
        <w:widowControl/>
        <w:spacing w:line="290" w:lineRule="exact" w:before="94" w:after="0"/>
        <w:ind w:left="227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circle of correlations, representing a theoretical maximum correlation of 1.0, helps</w:t>
      </w:r>
    </w:p>
    <w:p>
      <w:pPr>
        <w:autoSpaceDN w:val="0"/>
        <w:autoSpaceDE w:val="0"/>
        <w:widowControl/>
        <w:spacing w:line="264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interpret variable strength; those nearer the edge (e.g., ME 8414) show strong alignment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with one or both dimensions. In contrast, variables near the origin (e.g., ME 8405, ME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8417) contribute minimally. Dim1 likely captures a broad academic competence domain,</w:t>
      </w:r>
    </w:p>
    <w:p>
      <w:pPr>
        <w:autoSpaceDN w:val="0"/>
        <w:autoSpaceDE w:val="0"/>
        <w:widowControl/>
        <w:spacing w:line="290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while Dim2 may reflect a secondary, more specialised performance trait. Arrows point­</w:t>
      </w:r>
    </w:p>
    <w:p>
      <w:pPr>
        <w:autoSpaceDN w:val="0"/>
        <w:autoSpaceDE w:val="0"/>
        <w:widowControl/>
        <w:spacing w:line="188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ing in similar directions imply positive correlations, while those in opposite directions</w:t>
      </w:r>
    </w:p>
    <w:p>
      <w:pPr>
        <w:autoSpaceDN w:val="0"/>
        <w:autoSpaceDE w:val="0"/>
        <w:widowControl/>
        <w:spacing w:line="284" w:lineRule="exact" w:before="54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indicate negative correlations among variables. According to Jolliffe and Cadima [</w:t>
      </w:r>
      <w:hyperlink r:id="rId7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],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such biplots are essential for identifying which variables are most influential in defining</w:t>
      </w:r>
    </w:p>
    <w:p>
      <w:pPr>
        <w:autoSpaceDN w:val="0"/>
        <w:autoSpaceDE w:val="0"/>
        <w:widowControl/>
        <w:spacing w:line="270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principal compo</w:t>
      </w:r>
      <w:hyperlink r:id="rId71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n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ents and how they cluster based on shared variance. Similarly, Abdi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Williams , [</w:t>
      </w:r>
      <w:hyperlink r:id="rId71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 emphasise that PCA visualisations reveal underlying patterns and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dependencies that guide interpretation, supporting the development of more nuanced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academic insights and data-driven curriculum improvements.</w:t>
      </w:r>
    </w:p>
    <w:p>
      <w:pPr>
        <w:autoSpaceDN w:val="0"/>
        <w:autoSpaceDE w:val="0"/>
        <w:widowControl/>
        <w:spacing w:line="174" w:lineRule="exact" w:before="384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4.17 Limitations of the study</w:t>
      </w:r>
    </w:p>
    <w:p>
      <w:pPr>
        <w:autoSpaceDN w:val="0"/>
        <w:autoSpaceDE w:val="0"/>
        <w:widowControl/>
        <w:spacing w:line="284" w:lineRule="exact" w:before="62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This study is subject to several limitations. First, the analysis is based on a single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cohort from one institution (MUST), which limits the generalisability of the find­</w:t>
      </w:r>
    </w:p>
    <w:p>
      <w:pPr>
        <w:autoSpaceDN w:val="0"/>
        <w:autoSpaceDE w:val="0"/>
        <w:widowControl/>
        <w:spacing w:line="256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ings to other contexts. Second, the study relies solely on quantitative academic perfor­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mance data, without incorporating qualitative insights such as student experiences,</w:t>
      </w:r>
    </w:p>
    <w:p>
      <w:pPr>
        <w:sectPr>
          <w:pgSz w:w="11906" w:h="15874"/>
          <w:pgMar w:top="240" w:right="240" w:bottom="118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780" w:type="dxa"/>
        <w:gridCol w:w="406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7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16 of 18</w:t>
            </w:r>
          </w:p>
        </w:tc>
      </w:tr>
    </w:tbl>
    <w:p>
      <w:pPr>
        <w:autoSpaceDN w:val="0"/>
        <w:autoSpaceDE w:val="0"/>
        <w:widowControl/>
        <w:spacing w:line="282" w:lineRule="exact" w:before="738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teaching practices, or industry feedback that could enrich interpretation. Third, PCA,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as an exploratory method, identifies patterns in performance but does not establish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causality or directly evaluate curriculum effectiveness. Finally, factors such as students’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academic preparedness, learning behaviours, and socio-economic influences were not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included in the dataset, which may also affect academic outcomes.</w:t>
      </w:r>
    </w:p>
    <w:p>
      <w:pPr>
        <w:autoSpaceDN w:val="0"/>
        <w:autoSpaceDE w:val="0"/>
        <w:widowControl/>
        <w:spacing w:line="148" w:lineRule="exact" w:before="316" w:after="0"/>
        <w:ind w:left="2112" w:right="0" w:firstLine="0"/>
        <w:jc w:val="left"/>
      </w:pPr>
      <w:r>
        <w:rPr>
          <w:spacing w:val="-10"/>
          <w:w w:val="98.0952399117606"/>
          <w:rFonts w:ascii="MyriadPro" w:hAnsi="MyriadPro" w:eastAsia="MyriadPro"/>
          <w:b/>
          <w:color w:val="000000"/>
          <w:sz w:val="21"/>
        </w:rPr>
        <w:t>5 Conclusion</w:t>
      </w:r>
    </w:p>
    <w:p>
      <w:pPr>
        <w:autoSpaceDN w:val="0"/>
        <w:autoSpaceDE w:val="0"/>
        <w:widowControl/>
        <w:spacing w:line="292" w:lineRule="exact" w:before="9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This study examined patterns of student performance in final-year mechanical engi­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neering courses at Mbeya University of Science and Technology using EA and PCA.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results indicate that student achievement tends to cluster around technically inten­</w:t>
      </w:r>
    </w:p>
    <w:p>
      <w:pPr>
        <w:autoSpaceDN w:val="0"/>
        <w:autoSpaceDE w:val="0"/>
        <w:widowControl/>
        <w:spacing w:line="272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sive modules, suggesting that these courses play a central role in developing the core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engineering competencies expected of graduates. In particular, ME 8411 (Automation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and Robotics) and ME 8401 (Fluid Power and Control) showed strong associations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with overall academic performance, while courses such as ME 8408 (Industrial Practi­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cal Training III) exhibited weaker relationships with the broader performance structure.</w:t>
      </w:r>
    </w:p>
    <w:p>
      <w:pPr>
        <w:autoSpaceDN w:val="0"/>
        <w:autoSpaceDE w:val="0"/>
        <w:widowControl/>
        <w:spacing w:line="282" w:lineRule="exact" w:before="58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The PCA results further revealed five latent components explaining 58.2% of the total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variance, with the first component alone accounting for 30.4%, indicating a dominant</w:t>
      </w:r>
    </w:p>
    <w:p>
      <w:pPr>
        <w:autoSpaceDN w:val="0"/>
        <w:autoSpaceDE w:val="0"/>
        <w:widowControl/>
        <w:spacing w:line="270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dimension associated with technical engineering skills. High factor loadings for courses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such as ME 8411, ME 8401, and ME 8415 (Computer-Aided Manufacturing) indicate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strong contribution to the underlying academic performance structure, whereas courses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such as ME 8408 and ME 8413 demonstrate limited alignment with the shared variance</w:t>
      </w:r>
    </w:p>
    <w:p>
      <w:pPr>
        <w:autoSpaceDN w:val="0"/>
        <w:autoSpaceDE w:val="0"/>
        <w:widowControl/>
        <w:spacing w:line="282" w:lineRule="exact" w:before="58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structure. From an Outcome-Based Education perspective, these findings suggest that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different courses contribute unevenly to the development and assessment of programme</w:t>
      </w:r>
    </w:p>
    <w:p>
      <w:pPr>
        <w:autoSpaceDN w:val="0"/>
        <w:autoSpaceDE w:val="0"/>
        <w:widowControl/>
        <w:spacing w:line="256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learning outcomes, particularly in balancing theoretical knowledge, practical training,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project-based learning. Overall, the results provide an evidence-informed basis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for reflecting on curriculum alignment, strengthening competency development, and</w:t>
      </w:r>
    </w:p>
    <w:p>
      <w:pPr>
        <w:autoSpaceDN w:val="0"/>
        <w:autoSpaceDE w:val="0"/>
        <w:widowControl/>
        <w:spacing w:line="254" w:lineRule="exact" w:before="0" w:after="0"/>
        <w:ind w:left="2112" w:right="2016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improving assessment structures to better support industry-relevant engineering out­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comes in line with Tanzania’s Vision 2025 industrialisation goals.</w:t>
      </w:r>
    </w:p>
    <w:p>
      <w:pPr>
        <w:autoSpaceDN w:val="0"/>
        <w:autoSpaceDE w:val="0"/>
        <w:widowControl/>
        <w:spacing w:line="134" w:lineRule="exact" w:before="38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5.1 Recommendations</w:t>
      </w:r>
    </w:p>
    <w:p>
      <w:pPr>
        <w:autoSpaceDN w:val="0"/>
        <w:autoSpaceDE w:val="0"/>
        <w:widowControl/>
        <w:spacing w:line="282" w:lineRule="exact" w:before="46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To align mechanical engineering education at Mbeya University of Science and Technol­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ogy (MUST) with Tanzania’s Vision 2025 industrial goals, several improvements are rec­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ommended. Curriculum refinement should target low-impact courses such as ME 8408</w:t>
      </w:r>
    </w:p>
    <w:p>
      <w:pPr>
        <w:autoSpaceDN w:val="0"/>
        <w:autoSpaceDE w:val="0"/>
        <w:widowControl/>
        <w:spacing w:line="268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and ME 8407 to better align them with practical, industry-relevant competencies, while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enhanced academic support (e.g., tutorials, peer mentoring, and skill-based assessments)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should be provided for technically intensive modules such as ME 8401 and ME 8411. In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addition, greater attention should be given to student-centred strategies, including aca­</w:t>
      </w:r>
    </w:p>
    <w:p>
      <w:pPr>
        <w:autoSpaceDN w:val="0"/>
        <w:autoSpaceDE w:val="0"/>
        <w:widowControl/>
        <w:spacing w:line="282" w:lineRule="exact" w:before="58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demic support programmes, flexible learning pathways, and early identification of stu­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dents with learning difficulties to address variations in preparedness and study habits.</w:t>
      </w:r>
    </w:p>
    <w:p>
      <w:pPr>
        <w:autoSpaceDN w:val="0"/>
        <w:autoSpaceDE w:val="0"/>
        <w:widowControl/>
        <w:spacing w:line="268" w:lineRule="exact" w:before="0" w:after="0"/>
        <w:ind w:left="2112" w:right="2114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Integrating data-driven monitoring approaches (e.g., PCA and EA), strengthening fac­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ulty capacity in educational analytics, and fostering industry–academic partnerships will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further support continuous curriculum improvement. Collectively, these measures pro­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mote a more balanced, outcome-based engineering education that integrates curriculum</w:t>
      </w:r>
    </w:p>
    <w:p>
      <w:pPr>
        <w:autoSpaceDN w:val="0"/>
        <w:autoSpaceDE w:val="0"/>
        <w:widowControl/>
        <w:spacing w:line="292" w:lineRule="exact" w:before="48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quality, teaching effectiveness, and student success.</w:t>
      </w:r>
    </w:p>
    <w:p>
      <w:pPr>
        <w:sectPr>
          <w:pgSz w:w="11906" w:h="15874"/>
          <w:pgMar w:top="240" w:right="240" w:bottom="178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1393190</wp:posOffset>
            </wp:positionV>
            <wp:extent cx="269367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32"/>
                    <a:stretch>
                      <a:fillRect/>
                    </a:stretch>
                  </pic:blipFill>
                  <pic:spPr>
                    <a:xfrm>
                      <a:off x="0" y="0"/>
                      <a:ext cx="269367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1541780</wp:posOffset>
            </wp:positionV>
            <wp:extent cx="269367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33"/>
                    <a:stretch>
                      <a:fillRect/>
                    </a:stretch>
                  </pic:blipFill>
                  <pic:spPr>
                    <a:xfrm>
                      <a:off x="0" y="0"/>
                      <a:ext cx="269367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4187190</wp:posOffset>
            </wp:positionH>
            <wp:positionV relativeFrom="page">
              <wp:posOffset>1393190</wp:posOffset>
            </wp:positionV>
            <wp:extent cx="187833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13"/>
                    <a:stretch>
                      <a:fillRect/>
                    </a:stretch>
                  </pic:blipFill>
                  <pic:spPr>
                    <a:xfrm>
                      <a:off x="0" y="0"/>
                      <a:ext cx="187833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4187190</wp:posOffset>
            </wp:positionH>
            <wp:positionV relativeFrom="page">
              <wp:posOffset>1541780</wp:posOffset>
            </wp:positionV>
            <wp:extent cx="187833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14"/>
                    <a:stretch>
                      <a:fillRect/>
                    </a:stretch>
                  </pic:blipFill>
                  <pic:spPr>
                    <a:xfrm>
                      <a:off x="0" y="0"/>
                      <a:ext cx="187833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4210050</wp:posOffset>
            </wp:positionV>
            <wp:extent cx="457200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1492250</wp:posOffset>
            </wp:positionH>
            <wp:positionV relativeFrom="page">
              <wp:posOffset>7810500</wp:posOffset>
            </wp:positionV>
            <wp:extent cx="1682750" cy="139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34"/>
                    <a:stretch>
                      <a:fillRect/>
                    </a:stretch>
                  </pic:blipFill>
                  <pic:spPr>
                    <a:xfrm>
                      <a:off x="0" y="0"/>
                      <a:ext cx="1682750" cy="13970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780" w:type="dxa"/>
        <w:gridCol w:w="406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7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17 of 18</w:t>
            </w:r>
          </w:p>
        </w:tc>
      </w:tr>
    </w:tbl>
    <w:p>
      <w:pPr>
        <w:autoSpaceDN w:val="0"/>
        <w:autoSpaceDE w:val="0"/>
        <w:widowControl/>
        <w:spacing w:line="188" w:lineRule="exact" w:before="780" w:after="0"/>
        <w:ind w:left="2112" w:right="0" w:firstLine="0"/>
        <w:jc w:val="left"/>
      </w:pPr>
      <w:r>
        <w:rPr>
          <w:spacing w:val="-10"/>
          <w:w w:val="98.0952399117606"/>
          <w:rFonts w:ascii="MyriadPro" w:hAnsi="MyriadPro" w:eastAsia="MyriadPro"/>
          <w:b/>
          <w:color w:val="000000"/>
          <w:sz w:val="21"/>
        </w:rPr>
        <w:t>6 Appendix</w:t>
      </w:r>
    </w:p>
    <w:p>
      <w:pPr>
        <w:autoSpaceDN w:val="0"/>
        <w:tabs>
          <w:tab w:pos="6354" w:val="left"/>
        </w:tabs>
        <w:autoSpaceDE w:val="0"/>
        <w:widowControl/>
        <w:spacing w:line="116" w:lineRule="exact" w:before="386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6"/>
        </w:rPr>
        <w:t xml:space="preserve">Course code </w:t>
      </w:r>
      <w:r>
        <w:tab/>
      </w:r>
      <w:r>
        <w:rPr>
          <w:spacing w:val="-10"/>
          <w:rFonts w:ascii="MyriadPro" w:hAnsi="MyriadPro" w:eastAsia="MyriadPro"/>
          <w:b/>
          <w:color w:val="000000"/>
          <w:sz w:val="16"/>
        </w:rPr>
        <w:t>Course name</w:t>
      </w:r>
    </w:p>
    <w:p>
      <w:pPr>
        <w:autoSpaceDN w:val="0"/>
        <w:tabs>
          <w:tab w:pos="6354" w:val="left"/>
        </w:tabs>
        <w:autoSpaceDE w:val="0"/>
        <w:widowControl/>
        <w:spacing w:line="148" w:lineRule="exact" w:before="8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CS 8406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Object-Oriented Programming</w:t>
      </w:r>
    </w:p>
    <w:p>
      <w:pPr>
        <w:autoSpaceDN w:val="0"/>
        <w:tabs>
          <w:tab w:pos="6354" w:val="left"/>
        </w:tabs>
        <w:autoSpaceDE w:val="0"/>
        <w:widowControl/>
        <w:spacing w:line="116" w:lineRule="exact" w:before="8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8401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Fluid Power and Control</w:t>
      </w:r>
    </w:p>
    <w:p>
      <w:pPr>
        <w:autoSpaceDN w:val="0"/>
        <w:tabs>
          <w:tab w:pos="6354" w:val="left"/>
        </w:tabs>
        <w:autoSpaceDE w:val="0"/>
        <w:widowControl/>
        <w:spacing w:line="116" w:lineRule="exact" w:before="112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8402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Power Plants</w:t>
      </w:r>
    </w:p>
    <w:p>
      <w:pPr>
        <w:autoSpaceDN w:val="0"/>
        <w:tabs>
          <w:tab w:pos="6354" w:val="left"/>
        </w:tabs>
        <w:autoSpaceDE w:val="0"/>
        <w:widowControl/>
        <w:spacing w:line="148" w:lineRule="exact" w:before="78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8403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Material Handling Design</w:t>
      </w:r>
    </w:p>
    <w:p>
      <w:pPr>
        <w:autoSpaceDN w:val="0"/>
        <w:tabs>
          <w:tab w:pos="6354" w:val="left"/>
        </w:tabs>
        <w:autoSpaceDE w:val="0"/>
        <w:widowControl/>
        <w:spacing w:line="150" w:lineRule="exact" w:before="46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8404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Turbo Machinery</w:t>
      </w:r>
    </w:p>
    <w:p>
      <w:pPr>
        <w:autoSpaceDN w:val="0"/>
        <w:tabs>
          <w:tab w:pos="6354" w:val="left"/>
        </w:tabs>
        <w:autoSpaceDE w:val="0"/>
        <w:widowControl/>
        <w:spacing w:line="146" w:lineRule="exact" w:before="48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8405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Production Engineering</w:t>
      </w:r>
    </w:p>
    <w:p>
      <w:pPr>
        <w:autoSpaceDN w:val="0"/>
        <w:tabs>
          <w:tab w:pos="6354" w:val="left"/>
        </w:tabs>
        <w:autoSpaceDE w:val="0"/>
        <w:widowControl/>
        <w:spacing w:line="150" w:lineRule="exact" w:before="44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8406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Refrigeration System</w:t>
      </w:r>
    </w:p>
    <w:p>
      <w:pPr>
        <w:autoSpaceDN w:val="0"/>
        <w:tabs>
          <w:tab w:pos="6354" w:val="left"/>
        </w:tabs>
        <w:autoSpaceDE w:val="0"/>
        <w:widowControl/>
        <w:spacing w:line="144" w:lineRule="exact" w:before="54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8407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Senior Project I</w:t>
      </w:r>
    </w:p>
    <w:p>
      <w:pPr>
        <w:autoSpaceDN w:val="0"/>
        <w:tabs>
          <w:tab w:pos="6354" w:val="left"/>
        </w:tabs>
        <w:autoSpaceDE w:val="0"/>
        <w:widowControl/>
        <w:spacing w:line="148" w:lineRule="exact" w:before="48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8408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Industrial Practical Training III</w:t>
      </w:r>
    </w:p>
    <w:p>
      <w:pPr>
        <w:autoSpaceDN w:val="0"/>
        <w:tabs>
          <w:tab w:pos="6354" w:val="left"/>
        </w:tabs>
        <w:autoSpaceDE w:val="0"/>
        <w:widowControl/>
        <w:spacing w:line="148" w:lineRule="exact" w:before="46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8409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Quality Assurance and Control</w:t>
      </w:r>
    </w:p>
    <w:p>
      <w:pPr>
        <w:autoSpaceDN w:val="0"/>
        <w:tabs>
          <w:tab w:pos="6354" w:val="left"/>
        </w:tabs>
        <w:autoSpaceDE w:val="0"/>
        <w:widowControl/>
        <w:spacing w:line="148" w:lineRule="exact" w:before="46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8410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Engineering Ethics and Professional Conduct</w:t>
      </w:r>
    </w:p>
    <w:p>
      <w:pPr>
        <w:autoSpaceDN w:val="0"/>
        <w:tabs>
          <w:tab w:pos="6354" w:val="left"/>
        </w:tabs>
        <w:autoSpaceDE w:val="0"/>
        <w:widowControl/>
        <w:spacing w:line="116" w:lineRule="exact" w:before="8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8411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Automation and Robotics</w:t>
      </w:r>
    </w:p>
    <w:p>
      <w:pPr>
        <w:autoSpaceDN w:val="0"/>
        <w:tabs>
          <w:tab w:pos="6354" w:val="left"/>
        </w:tabs>
        <w:autoSpaceDE w:val="0"/>
        <w:widowControl/>
        <w:spacing w:line="148" w:lineRule="exact" w:before="78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8412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Engine Design Technology</w:t>
      </w:r>
    </w:p>
    <w:p>
      <w:pPr>
        <w:autoSpaceDN w:val="0"/>
        <w:tabs>
          <w:tab w:pos="6354" w:val="left"/>
        </w:tabs>
        <w:autoSpaceDE w:val="0"/>
        <w:widowControl/>
        <w:spacing w:line="150" w:lineRule="exact" w:before="44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8413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Foundry Technology</w:t>
      </w:r>
    </w:p>
    <w:p>
      <w:pPr>
        <w:autoSpaceDN w:val="0"/>
        <w:tabs>
          <w:tab w:pos="6354" w:val="left"/>
        </w:tabs>
        <w:autoSpaceDE w:val="0"/>
        <w:widowControl/>
        <w:spacing w:line="150" w:lineRule="exact" w:before="44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8414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Air Conditioning System</w:t>
      </w:r>
    </w:p>
    <w:p>
      <w:pPr>
        <w:autoSpaceDN w:val="0"/>
        <w:tabs>
          <w:tab w:pos="6354" w:val="left"/>
        </w:tabs>
        <w:autoSpaceDE w:val="0"/>
        <w:widowControl/>
        <w:spacing w:line="148" w:lineRule="exact" w:before="44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8415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Computer-Aided Manufacturing (CAM)</w:t>
      </w:r>
    </w:p>
    <w:p>
      <w:pPr>
        <w:autoSpaceDN w:val="0"/>
        <w:tabs>
          <w:tab w:pos="6354" w:val="left"/>
        </w:tabs>
        <w:autoSpaceDE w:val="0"/>
        <w:widowControl/>
        <w:spacing w:line="146" w:lineRule="exact" w:before="5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8416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Industrial Supervisor Skill and Leadership</w:t>
      </w:r>
    </w:p>
    <w:p>
      <w:pPr>
        <w:autoSpaceDN w:val="0"/>
        <w:tabs>
          <w:tab w:pos="6354" w:val="left"/>
        </w:tabs>
        <w:autoSpaceDE w:val="0"/>
        <w:widowControl/>
        <w:spacing w:line="144" w:lineRule="exact" w:before="58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ME 8417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Senior Project II</w:t>
      </w:r>
    </w:p>
    <w:p>
      <w:pPr>
        <w:autoSpaceDN w:val="0"/>
        <w:autoSpaceDE w:val="0"/>
        <w:widowControl/>
        <w:spacing w:line="138" w:lineRule="exact" w:before="132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5"/>
        </w:rPr>
        <w:t>Acknowledgements</w:t>
      </w:r>
    </w:p>
    <w:p>
      <w:pPr>
        <w:autoSpaceDN w:val="0"/>
        <w:autoSpaceDE w:val="0"/>
        <w:widowControl/>
        <w:spacing w:line="140" w:lineRule="exact" w:before="4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The Author acknowledges the support from the Mbeya University of Science and Technology, particularly the</w:t>
      </w:r>
    </w:p>
    <w:p>
      <w:pPr>
        <w:autoSpaceDN w:val="0"/>
        <w:autoSpaceDE w:val="0"/>
        <w:widowControl/>
        <w:spacing w:line="170" w:lineRule="exact" w:before="16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Department of Mechanical and Industrial Engineering and the Examination Office.</w:t>
      </w:r>
    </w:p>
    <w:p>
      <w:pPr>
        <w:autoSpaceDN w:val="0"/>
        <w:autoSpaceDE w:val="0"/>
        <w:widowControl/>
        <w:spacing w:line="108" w:lineRule="exact" w:before="148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5"/>
        </w:rPr>
        <w:t>Author contributions</w:t>
      </w:r>
    </w:p>
    <w:p>
      <w:pPr>
        <w:autoSpaceDN w:val="0"/>
        <w:autoSpaceDE w:val="0"/>
        <w:widowControl/>
        <w:spacing w:line="108" w:lineRule="exact" w:before="72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Zacharia Katambara did all the work.</w:t>
      </w:r>
    </w:p>
    <w:p>
      <w:pPr>
        <w:autoSpaceDN w:val="0"/>
        <w:autoSpaceDE w:val="0"/>
        <w:widowControl/>
        <w:spacing w:line="138" w:lineRule="exact" w:before="186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5"/>
        </w:rPr>
        <w:t>Funding</w:t>
      </w:r>
    </w:p>
    <w:p>
      <w:pPr>
        <w:autoSpaceDN w:val="0"/>
        <w:autoSpaceDE w:val="0"/>
        <w:widowControl/>
        <w:spacing w:line="138" w:lineRule="exact" w:before="42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No Funding.</w:t>
      </w:r>
    </w:p>
    <w:p>
      <w:pPr>
        <w:autoSpaceDN w:val="0"/>
        <w:autoSpaceDE w:val="0"/>
        <w:widowControl/>
        <w:spacing w:line="140" w:lineRule="exact" w:before="156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5"/>
        </w:rPr>
        <w:t>Data availability</w:t>
      </w:r>
    </w:p>
    <w:p>
      <w:pPr>
        <w:autoSpaceDN w:val="0"/>
        <w:autoSpaceDE w:val="0"/>
        <w:widowControl/>
        <w:spacing w:line="142" w:lineRule="exact" w:before="38" w:after="0"/>
        <w:ind w:left="0" w:right="0" w:firstLine="0"/>
        <w:jc w:val="center"/>
      </w:pPr>
      <w:r>
        <w:rPr>
          <w:spacing w:val="-10"/>
          <w:rFonts w:ascii="MyriadPro" w:hAnsi="MyriadPro" w:eastAsia="MyriadPro"/>
          <w:color w:val="000000"/>
          <w:sz w:val="15"/>
        </w:rPr>
        <w:t>The datasets generated during and/or analysed during the current study are available from the corresponding author on</w:t>
      </w:r>
    </w:p>
    <w:p>
      <w:pPr>
        <w:autoSpaceDN w:val="0"/>
        <w:autoSpaceDE w:val="0"/>
        <w:widowControl/>
        <w:spacing w:line="136" w:lineRule="exact" w:before="4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reasonable request.</w:t>
      </w:r>
    </w:p>
    <w:p>
      <w:pPr>
        <w:autoSpaceDN w:val="0"/>
        <w:autoSpaceDE w:val="0"/>
        <w:widowControl/>
        <w:spacing w:line="132" w:lineRule="exact" w:before="320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Declarations</w:t>
      </w:r>
    </w:p>
    <w:p>
      <w:pPr>
        <w:autoSpaceDN w:val="0"/>
        <w:autoSpaceDE w:val="0"/>
        <w:widowControl/>
        <w:spacing w:line="136" w:lineRule="exact" w:before="184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5"/>
        </w:rPr>
        <w:t>Ethics approval and consent to participate</w:t>
      </w:r>
    </w:p>
    <w:p>
      <w:pPr>
        <w:autoSpaceDN w:val="0"/>
        <w:autoSpaceDE w:val="0"/>
        <w:widowControl/>
        <w:spacing w:line="140" w:lineRule="exact" w:before="44" w:after="0"/>
        <w:ind w:left="0" w:right="0" w:firstLine="0"/>
        <w:jc w:val="center"/>
      </w:pPr>
      <w:r>
        <w:rPr>
          <w:spacing w:val="-10"/>
          <w:rFonts w:ascii="MyriadPro" w:hAnsi="MyriadPro" w:eastAsia="MyriadPro"/>
          <w:color w:val="000000"/>
          <w:sz w:val="15"/>
        </w:rPr>
        <w:t>The Mbeya University of Science and Technology Research Ethical Committee (MUST REC) provided the ethical approval</w:t>
      </w:r>
    </w:p>
    <w:p>
      <w:pPr>
        <w:autoSpaceDN w:val="0"/>
        <w:autoSpaceDE w:val="0"/>
        <w:widowControl/>
        <w:spacing w:line="170" w:lineRule="exact" w:before="14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for the study. The author confirms that all experiments were performed in accordance with relevant guidelines and</w:t>
      </w:r>
    </w:p>
    <w:p>
      <w:pPr>
        <w:autoSpaceDN w:val="0"/>
        <w:autoSpaceDE w:val="0"/>
        <w:widowControl/>
        <w:spacing w:line="140" w:lineRule="exact" w:before="36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regulations. Also, the study adhered to the Helsinki Declaration. In accordance with the approval conditions stipulated</w:t>
      </w:r>
    </w:p>
    <w:p>
      <w:pPr>
        <w:autoSpaceDN w:val="0"/>
        <w:autoSpaceDE w:val="0"/>
        <w:widowControl/>
        <w:spacing w:line="140" w:lineRule="exact" w:before="4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in the Director of Undergraduate Studies’letter, freely given and informed consent was obtained from all participants</w:t>
      </w:r>
    </w:p>
    <w:p>
      <w:pPr>
        <w:autoSpaceDN w:val="0"/>
        <w:autoSpaceDE w:val="0"/>
        <w:widowControl/>
        <w:spacing w:line="140" w:lineRule="exact" w:before="4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prior to data collection. Participants were adequately informed about the purpose of the study, the voluntary nature</w:t>
      </w:r>
    </w:p>
    <w:p>
      <w:pPr>
        <w:autoSpaceDN w:val="0"/>
        <w:autoSpaceDE w:val="0"/>
        <w:widowControl/>
        <w:spacing w:line="170" w:lineRule="exact" w:before="14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of participation, confidentiality safeguards, and their right to withdraw at any stage without any academic or personal</w:t>
      </w:r>
    </w:p>
    <w:p>
      <w:pPr>
        <w:autoSpaceDN w:val="0"/>
        <w:autoSpaceDE w:val="0"/>
        <w:widowControl/>
        <w:spacing w:line="102" w:lineRule="exact" w:before="7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consequences.</w:t>
      </w:r>
    </w:p>
    <w:p>
      <w:pPr>
        <w:autoSpaceDN w:val="0"/>
        <w:autoSpaceDE w:val="0"/>
        <w:widowControl/>
        <w:spacing w:line="138" w:lineRule="exact" w:before="156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5"/>
        </w:rPr>
        <w:t>Consent for publication</w:t>
      </w:r>
    </w:p>
    <w:p>
      <w:pPr>
        <w:autoSpaceDN w:val="0"/>
        <w:autoSpaceDE w:val="0"/>
        <w:widowControl/>
        <w:spacing w:line="136" w:lineRule="exact" w:before="44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Not Applicable.</w:t>
      </w:r>
    </w:p>
    <w:p>
      <w:pPr>
        <w:autoSpaceDN w:val="0"/>
        <w:autoSpaceDE w:val="0"/>
        <w:widowControl/>
        <w:spacing w:line="136" w:lineRule="exact" w:before="16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5"/>
        </w:rPr>
        <w:t>Competing interests</w:t>
      </w:r>
    </w:p>
    <w:p>
      <w:pPr>
        <w:autoSpaceDN w:val="0"/>
        <w:autoSpaceDE w:val="0"/>
        <w:widowControl/>
        <w:spacing w:line="138" w:lineRule="exact" w:before="42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The authors declare no competing interests.</w:t>
      </w:r>
    </w:p>
    <w:p>
      <w:pPr>
        <w:autoSpaceDN w:val="0"/>
        <w:autoSpaceDE w:val="0"/>
        <w:widowControl/>
        <w:spacing w:line="140" w:lineRule="exact" w:before="268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Received: 31 December 2025 / Accepted: 13 May 2026</w:t>
      </w:r>
    </w:p>
    <w:p>
      <w:pPr>
        <w:autoSpaceDN w:val="0"/>
        <w:autoSpaceDE w:val="0"/>
        <w:widowControl/>
        <w:spacing w:line="110" w:lineRule="exact" w:before="822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5"/>
        </w:rPr>
        <w:t>References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34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1. </w:t>
      </w:r>
      <w:r>
        <w:tab/>
      </w:r>
      <w:hyperlink r:id="rId130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Abdi H, Williams LJ. Princi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pal component analysis. Wiley Interdisciplinary Reviews: Comput Stat. 2010;2(4):433–59.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30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</w:t>
        </w:r>
      </w:hyperlink>
    </w:p>
    <w:p>
      <w:pPr>
        <w:autoSpaceDN w:val="0"/>
        <w:autoSpaceDE w:val="0"/>
        <w:widowControl/>
        <w:spacing w:line="138" w:lineRule="exact" w:before="42" w:after="0"/>
        <w:ind w:left="2412" w:right="0" w:firstLine="0"/>
        <w:jc w:val="left"/>
      </w:pPr>
      <w:hyperlink r:id="rId130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doi.org/10.1002/wics.101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2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Bishop D, Akinyemi A, Maina J. Engineering workforce needs for industrial transformation in Tanzania. J Afr Industrial Dev.</w:t>
      </w:r>
    </w:p>
    <w:p>
      <w:pPr>
        <w:autoSpaceDN w:val="0"/>
        <w:autoSpaceDE w:val="0"/>
        <w:widowControl/>
        <w:spacing w:line="122" w:lineRule="exact" w:before="44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2021;12(3):45–67.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2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Borges VRP, Esteves S, Araújo PDN, de Oliveira LC, Holanda M. (2018). Using Principal Component Analysis to support</w:t>
      </w:r>
    </w:p>
    <w:p>
      <w:pPr>
        <w:autoSpaceDN w:val="0"/>
        <w:autoSpaceDE w:val="0"/>
        <w:widowControl/>
        <w:spacing w:line="140" w:lineRule="exact" w:before="40" w:after="0"/>
        <w:ind w:left="2412" w:right="0" w:firstLine="0"/>
        <w:jc w:val="left"/>
      </w:pPr>
      <w:hyperlink r:id="rId131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students’performance prediction and data analysis. Proceedings of the Brazilian Symposium on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 Computers in Education.</w:t>
      </w:r>
    </w:p>
    <w:p>
      <w:pPr>
        <w:autoSpaceDN w:val="0"/>
        <w:autoSpaceDE w:val="0"/>
        <w:widowControl/>
        <w:spacing w:line="140" w:lineRule="exact" w:before="40" w:after="0"/>
        <w:ind w:left="2412" w:right="0" w:firstLine="0"/>
        <w:jc w:val="left"/>
      </w:pPr>
      <w:hyperlink r:id="rId131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https://typeset.io/papers/using-principal-component-analysis-to-support-students-dv35by90kf</w:t>
        </w:r>
      </w:hyperlink>
    </w:p>
    <w:p>
      <w:pPr>
        <w:sectPr>
          <w:pgSz w:w="11906" w:h="15874"/>
          <w:pgMar w:top="240" w:right="240" w:bottom="142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80" w:type="dxa"/>
        <w:gridCol w:w="3780" w:type="dxa"/>
        <w:gridCol w:w="4060" w:type="dxa"/>
      </w:tblGrid>
      <w:tr>
        <w:trPr>
          <w:trHeight w:hRule="exact" w:val="208"/>
        </w:trPr>
        <w:tc>
          <w:tcPr>
            <w:tcW w:type="dxa" w:w="2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4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Katambara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Discover Education</w:t>
            </w:r>
          </w:p>
        </w:tc>
        <w:tc>
          <w:tcPr>
            <w:tcW w:type="dxa" w:w="37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5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5:603</w:t>
            </w:r>
          </w:p>
        </w:tc>
        <w:tc>
          <w:tcPr>
            <w:tcW w:type="dxa" w:w="4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18 of 18</w:t>
            </w:r>
          </w:p>
        </w:tc>
      </w:tr>
    </w:tbl>
    <w:p>
      <w:pPr>
        <w:autoSpaceDN w:val="0"/>
        <w:tabs>
          <w:tab w:pos="2412" w:val="left"/>
        </w:tabs>
        <w:autoSpaceDE w:val="0"/>
        <w:widowControl/>
        <w:spacing w:line="140" w:lineRule="exact" w:before="736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4. </w:t>
      </w:r>
      <w:r>
        <w:tab/>
      </w:r>
      <w:hyperlink r:id="rId135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Cattell RB. The s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cree test for the number of factors. Multivar Behav Res. 1966;1(2):245–76.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35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https://doi.org/10.1207/s153279</w:t>
        </w:r>
      </w:hyperlink>
    </w:p>
    <w:p>
      <w:pPr>
        <w:autoSpaceDN w:val="0"/>
        <w:autoSpaceDE w:val="0"/>
        <w:widowControl/>
        <w:spacing w:line="126" w:lineRule="exact" w:before="42" w:after="0"/>
        <w:ind w:left="2412" w:right="0" w:firstLine="0"/>
        <w:jc w:val="left"/>
      </w:pPr>
      <w:hyperlink r:id="rId135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06mbr0102_10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2" w:lineRule="exact" w:before="1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5.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Cohen J. Statistical power analysis for the behavioural sciences. Routledge; 2013.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6.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Etikan I, Musa </w:t>
      </w:r>
      <w:hyperlink r:id="rId136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SA, Alkassim RS. Comparison of convenience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 sampling and purposive sampling. Am J Theoretical Appl Stat.</w:t>
      </w:r>
    </w:p>
    <w:p>
      <w:pPr>
        <w:autoSpaceDN w:val="0"/>
        <w:autoSpaceDE w:val="0"/>
        <w:widowControl/>
        <w:spacing w:line="138" w:lineRule="exact" w:before="42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2016;5(1):1–4.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36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https://doi.org/10.11648/j.ajtas.20160501.11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4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7.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Field A. Discovering statistics using IBM SPSS statistics. 5th ed. Sage Publications Limited; 2024.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8.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Giovannella C, Scaccia F, Popescu E. (2013). A PCA study of student performance indicators in a W</w:t>
      </w:r>
      <w:hyperlink r:id="rId137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eb 2.0-based learning</w:t>
        </w:r>
      </w:hyperlink>
    </w:p>
    <w:p>
      <w:pPr>
        <w:autoSpaceDN w:val="0"/>
        <w:autoSpaceDE w:val="0"/>
        <w:widowControl/>
        <w:spacing w:line="142" w:lineRule="exact" w:before="38" w:after="0"/>
        <w:ind w:left="2412" w:right="0" w:firstLine="0"/>
        <w:jc w:val="left"/>
      </w:pPr>
      <w:hyperlink r:id="rId137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environment. Proceedings of the International Conference on Advanced L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earning Technologies.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37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https://typeset.io/papers</w:t>
        </w:r>
      </w:hyperlink>
    </w:p>
    <w:p>
      <w:pPr>
        <w:autoSpaceDN w:val="0"/>
        <w:autoSpaceDE w:val="0"/>
        <w:widowControl/>
        <w:spacing w:line="142" w:lineRule="exact" w:before="38" w:after="0"/>
        <w:ind w:left="2412" w:right="0" w:firstLine="0"/>
        <w:jc w:val="left"/>
      </w:pPr>
      <w:hyperlink r:id="rId137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/a-pca-study-of-student-performance-indicators-in-a-web-2-0-16yiao98ze</w:t>
        </w:r>
      </w:hyperlink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9.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Hair JF, Black WC, Babin BJ, Anderson RE. Multivariate Data Analysis. 8th ed. Cengage Learning; 2019.</w:t>
      </w:r>
    </w:p>
    <w:p>
      <w:pPr>
        <w:autoSpaceDN w:val="0"/>
        <w:tabs>
          <w:tab w:pos="2412" w:val="left"/>
        </w:tabs>
        <w:autoSpaceDE w:val="0"/>
        <w:widowControl/>
        <w:spacing w:line="108" w:lineRule="exact" w:before="32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10.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Harden RM. AMEE Guide 14: Outcome-based education: Part 1-An introduction to outcome-based education. Med Teach.</w:t>
      </w:r>
    </w:p>
    <w:p>
      <w:pPr>
        <w:autoSpaceDN w:val="0"/>
        <w:autoSpaceDE w:val="0"/>
        <w:widowControl/>
        <w:spacing w:line="124" w:lineRule="exact" w:before="74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1999;21(1):7–14.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14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11.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Hu S, Gu Y, Jiang H. Teaching qu</w:t>
      </w:r>
      <w:hyperlink r:id="rId138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ality assessment based on principal co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mponent analysis and Elman neural network. Int</w:t>
      </w:r>
    </w:p>
    <w:p>
      <w:pPr>
        <w:autoSpaceDN w:val="0"/>
        <w:autoSpaceDE w:val="0"/>
        <w:widowControl/>
        <w:spacing w:line="140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Symp Comput Intell Des. 2015.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38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https://doi.org/10.1109/ISCID.2015.270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14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12.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Jolliffe IT, Cadima J. (2016). Principal component analysis: A review and recent developments. P</w:t>
      </w:r>
      <w:hyperlink r:id="rId139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hilosophical Transactions</w:t>
        </w:r>
      </w:hyperlink>
    </w:p>
    <w:p>
      <w:pPr>
        <w:autoSpaceDN w:val="0"/>
        <w:autoSpaceDE w:val="0"/>
        <w:widowControl/>
        <w:spacing w:line="142" w:lineRule="exact" w:before="34" w:after="0"/>
        <w:ind w:left="2412" w:right="0" w:firstLine="0"/>
        <w:jc w:val="left"/>
      </w:pPr>
      <w:hyperlink r:id="rId139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of the Royal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 Society A: Mathematical, Physical and Engineering Sciences, 374(2065), 20150202.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39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https://doi.org/10.1098/rst</w:t>
        </w:r>
      </w:hyperlink>
    </w:p>
    <w:p>
      <w:pPr>
        <w:autoSpaceDN w:val="0"/>
        <w:autoSpaceDE w:val="0"/>
        <w:widowControl/>
        <w:spacing w:line="100" w:lineRule="exact" w:before="48" w:after="0"/>
        <w:ind w:left="2412" w:right="0" w:firstLine="0"/>
        <w:jc w:val="left"/>
      </w:pPr>
      <w:hyperlink r:id="rId139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a.2015.0202</w:t>
        </w:r>
      </w:hyperlink>
    </w:p>
    <w:p>
      <w:pPr>
        <w:autoSpaceDN w:val="0"/>
        <w:tabs>
          <w:tab w:pos="2412" w:val="left"/>
        </w:tabs>
        <w:autoSpaceDE w:val="0"/>
        <w:widowControl/>
        <w:spacing w:line="142" w:lineRule="exact" w:before="28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13. </w:t>
      </w:r>
      <w:r>
        <w:tab/>
      </w:r>
      <w:hyperlink r:id="rId140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Kaiser HF. The application of ele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ctronic computers to factor analysis. Educ Psychol Meas. 1960;20(1):141–51.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0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</w:t>
        </w:r>
      </w:hyperlink>
    </w:p>
    <w:p>
      <w:pPr>
        <w:autoSpaceDN w:val="0"/>
        <w:autoSpaceDE w:val="0"/>
        <w:widowControl/>
        <w:spacing w:line="108" w:lineRule="exact" w:before="44" w:after="0"/>
        <w:ind w:left="2412" w:right="0" w:firstLine="0"/>
        <w:jc w:val="left"/>
      </w:pPr>
      <w:hyperlink r:id="rId140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/10.1177/001316446002000116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2" w:lineRule="exact" w:before="24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14.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Katambara Z. Determinants of Students’Performance in Electrical and Elect</w:t>
      </w:r>
      <w:hyperlink r:id="rId141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ronics Engineering at Mbeya University of Sci­</w:t>
        </w:r>
      </w:hyperlink>
    </w:p>
    <w:p>
      <w:pPr>
        <w:autoSpaceDN w:val="0"/>
        <w:autoSpaceDE w:val="0"/>
        <w:widowControl/>
        <w:spacing w:line="142" w:lineRule="exact" w:before="38" w:after="0"/>
        <w:ind w:left="2412" w:right="0" w:firstLine="0"/>
        <w:jc w:val="left"/>
      </w:pPr>
      <w:hyperlink r:id="rId141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en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ce and Technology, Tanzania. East Afr J Educ Social Sci. 2025;6(1):88–101.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1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https://doi.org/10.46606/eajess2025v06i01.04</w:t>
        </w:r>
      </w:hyperlink>
    </w:p>
    <w:p>
      <w:pPr>
        <w:autoSpaceDN w:val="0"/>
        <w:autoSpaceDE w:val="0"/>
        <w:widowControl/>
        <w:spacing w:line="100" w:lineRule="exact" w:before="48" w:after="0"/>
        <w:ind w:left="2412" w:right="0" w:firstLine="0"/>
        <w:jc w:val="left"/>
      </w:pPr>
      <w:hyperlink r:id="rId141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27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2" w:lineRule="exact" w:before="28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15.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Katambara Z, William M. Assessing Key Performance Factors in Final-Year Civil Engineering Students at Mbe</w:t>
      </w:r>
      <w:hyperlink r:id="rId142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ya University o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f</w:t>
      </w:r>
    </w:p>
    <w:p>
      <w:pPr>
        <w:autoSpaceDN w:val="0"/>
        <w:autoSpaceDE w:val="0"/>
        <w:widowControl/>
        <w:spacing w:line="140" w:lineRule="exact" w:before="40" w:after="0"/>
        <w:ind w:left="2412" w:right="0" w:firstLine="0"/>
        <w:jc w:val="left"/>
      </w:pPr>
      <w:hyperlink r:id="rId142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Science and Technology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, Tanzania by Using Principal Component Analysis. Creative Educ. 2025;16:253–67.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2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</w:t>
        </w:r>
      </w:hyperlink>
    </w:p>
    <w:p>
      <w:pPr>
        <w:autoSpaceDN w:val="0"/>
        <w:autoSpaceDE w:val="0"/>
        <w:widowControl/>
        <w:spacing w:line="108" w:lineRule="exact" w:before="44" w:after="0"/>
        <w:ind w:left="2412" w:right="0" w:firstLine="0"/>
        <w:jc w:val="left"/>
      </w:pPr>
      <w:hyperlink r:id="rId142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10.4236/ce.2025.163016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2" w:lineRule="exact" w:before="24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16.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Maphosa M, Doorsamy W, Paul BS. Student performance </w:t>
      </w:r>
      <w:hyperlink r:id="rId143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patterns in engineering at the University of Joh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annesburg: An</w:t>
      </w:r>
    </w:p>
    <w:p>
      <w:pPr>
        <w:autoSpaceDN w:val="0"/>
        <w:autoSpaceDE w:val="0"/>
        <w:widowControl/>
        <w:spacing w:line="140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exploratory data analysis. IEEE Access. 2023;11:48977–88.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3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https://doi.org/10.1109/ACCESS.2023.3277225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14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17.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McDonald RP. Test theory: A unified treatment. Mahwah, NJ: Lawrence Erlbaum Associates; 1999.</w:t>
      </w:r>
    </w:p>
    <w:p>
      <w:pPr>
        <w:autoSpaceDN w:val="0"/>
        <w:tabs>
          <w:tab w:pos="2412" w:val="left"/>
        </w:tabs>
        <w:autoSpaceDE w:val="0"/>
        <w:widowControl/>
        <w:spacing w:line="136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18.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Nunnally JC, Bernstein IH. Psychometric theory. 3rd ed. New York, NY: McGraw-Hill; 1994.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19.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Resnik DB. The ethics of research with human subjects: Protecting people, advancing science, promoting trust. Volume 74.</w:t>
      </w:r>
    </w:p>
    <w:p>
      <w:pPr>
        <w:autoSpaceDN w:val="0"/>
        <w:autoSpaceDE w:val="0"/>
        <w:widowControl/>
        <w:spacing w:line="134" w:lineRule="exact" w:before="46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Springer; 2018.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20.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Roth F, Schneider H, Wendler C. Evalua</w:t>
      </w:r>
      <w:hyperlink r:id="rId144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ting interdisciplinary competencies in engineeri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ng programs: Insights from Europe.</w:t>
      </w:r>
    </w:p>
    <w:p>
      <w:pPr>
        <w:autoSpaceDN w:val="0"/>
        <w:autoSpaceDE w:val="0"/>
        <w:widowControl/>
        <w:spacing w:line="138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J Vocat Educ Train. 2019;71(2):234–50.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4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https://doi.org/10.1080/13636820.2019.1564320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2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21.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Shlens J. (2014). A tutorial on principal component analysis. arXiv preprint arXiv:14041100.</w:t>
      </w:r>
    </w:p>
    <w:p>
      <w:pPr>
        <w:autoSpaceDN w:val="0"/>
        <w:tabs>
          <w:tab w:pos="2412" w:val="left"/>
        </w:tabs>
        <w:autoSpaceDE w:val="0"/>
        <w:widowControl/>
        <w:spacing w:line="114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22.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Sofia G, Hema D. Clustering-based recommendations for enhancing students’academic performance </w:t>
      </w:r>
      <w:hyperlink r:id="rId145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by recognizing</w:t>
        </w:r>
      </w:hyperlink>
    </w:p>
    <w:p>
      <w:pPr>
        <w:autoSpaceDN w:val="0"/>
        <w:autoSpaceDE w:val="0"/>
        <w:widowControl/>
        <w:spacing w:line="140" w:lineRule="exact" w:before="36" w:after="0"/>
        <w:ind w:left="2412" w:right="0" w:firstLine="0"/>
        <w:jc w:val="left"/>
      </w:pPr>
      <w:hyperlink r:id="rId145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prevalent assessmen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t method using exploratory data analysis. Indian J Sci Technol. 2024;17(6):503–13.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5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</w:t>
        </w:r>
      </w:hyperlink>
    </w:p>
    <w:p>
      <w:pPr>
        <w:autoSpaceDN w:val="0"/>
        <w:autoSpaceDE w:val="0"/>
        <w:widowControl/>
        <w:spacing w:line="108" w:lineRule="exact" w:before="44" w:after="0"/>
        <w:ind w:left="2412" w:right="0" w:firstLine="0"/>
        <w:jc w:val="left"/>
      </w:pPr>
      <w:hyperlink r:id="rId145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7485/IJST/v17i6.2175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2" w:lineRule="exact" w:before="24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23.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Spady WG. Outcome-based education: Critical issues and answers. American Association of School Administrators; 1994.</w:t>
      </w:r>
    </w:p>
    <w:p>
      <w:pPr>
        <w:autoSpaceDN w:val="0"/>
        <w:tabs>
          <w:tab w:pos="2412" w:val="left"/>
        </w:tabs>
        <w:autoSpaceDE w:val="0"/>
        <w:widowControl/>
        <w:spacing w:line="114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24.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Streiner DL. Starting at the beginning: An introduction to coefficient alpha and internal consistency. J Pers Assess.</w:t>
      </w:r>
    </w:p>
    <w:p>
      <w:pPr>
        <w:autoSpaceDN w:val="0"/>
        <w:autoSpaceDE w:val="0"/>
        <w:widowControl/>
        <w:spacing w:line="124" w:lineRule="exact" w:before="3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2003;80(1):99–103.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16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25.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Tabachnick BG, Fidell LS. Using multivariate statistics. 6th ed. Pearson Education; 2013.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26.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Tavakol M, Dennick R. Making sense of Cronbach’s alpha. Int J Med Educ. 2011;2:53–5.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27.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Toroka MI, Kafanabo E. (2024), Assessing the relevance of technical education curricula to current industrial skill demands</w:t>
      </w:r>
    </w:p>
    <w:p>
      <w:pPr>
        <w:autoSpaceDN w:val="0"/>
        <w:autoSpaceDE w:val="0"/>
        <w:widowControl/>
        <w:spacing w:line="142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in Tanzania: A case study of civil, electrical, and biomedical engineering curricula. Papers Educ Dev, 42(1).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28.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Twenefour D, Osei S, Arthur E. A principal component analysis approach to students’assessment scores. Int J Educ Dev</w:t>
      </w:r>
    </w:p>
    <w:p>
      <w:pPr>
        <w:autoSpaceDN w:val="0"/>
        <w:autoSpaceDE w:val="0"/>
        <w:widowControl/>
        <w:spacing w:line="140" w:lineRule="exact" w:before="3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using Inform Communication Technol. 2015;11(2):1–11.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29.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United Republic of Tanzania. Tanzania Development Vision 2025: Framework for industrial and economic growth. Dar es</w:t>
      </w:r>
    </w:p>
    <w:p>
      <w:pPr>
        <w:autoSpaceDN w:val="0"/>
        <w:autoSpaceDE w:val="0"/>
        <w:widowControl/>
        <w:spacing w:line="142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Salaam: Ministry of Industry and Trade; 2021.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30.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Walker P. Teaching for quality learning at university. High Educ. 2005;49(4):535–8.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31.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Wang X, Zhou L. En</w:t>
      </w:r>
      <w:hyperlink r:id="rId146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gineering education and innovation as drivers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 of China’s industrial leadership. Int J Eng Stud.</w:t>
      </w:r>
    </w:p>
    <w:p>
      <w:pPr>
        <w:autoSpaceDN w:val="0"/>
        <w:autoSpaceDE w:val="0"/>
        <w:widowControl/>
        <w:spacing w:line="138" w:lineRule="exact" w:before="42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2020;15(4):312–29.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6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https://doi.org/10.1016/j.engstud.2020.02.005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32.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Wismansyah AR, Kadir AR, Baja S, Amar MY. Sustainable vocational education models for industrial re</w:t>
      </w:r>
      <w:hyperlink r:id="rId147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volution role in devel­</w:t>
        </w:r>
      </w:hyperlink>
    </w:p>
    <w:p>
      <w:pPr>
        <w:autoSpaceDN w:val="0"/>
        <w:autoSpaceDE w:val="0"/>
        <w:widowControl/>
        <w:spacing w:line="142" w:lineRule="exact" w:before="38" w:after="0"/>
        <w:ind w:left="2412" w:right="0" w:firstLine="0"/>
        <w:jc w:val="left"/>
      </w:pPr>
      <w:hyperlink r:id="rId147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opment of job m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arket absorption in Tangerang City. Indonesia J Infrastructure Policy Dev. 2024;8(6).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7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https://doi.org/10.242</w:t>
        </w:r>
      </w:hyperlink>
    </w:p>
    <w:p>
      <w:pPr>
        <w:autoSpaceDN w:val="0"/>
        <w:autoSpaceDE w:val="0"/>
        <w:widowControl/>
        <w:spacing w:line="138" w:lineRule="exact" w:before="40" w:after="0"/>
        <w:ind w:left="2412" w:right="0" w:firstLine="0"/>
        <w:jc w:val="left"/>
      </w:pPr>
      <w:hyperlink r:id="rId147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94/jipd.v8i6.3958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33.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Yu T. (2014). An exploratory factor analysis and reliability analysis of the Student Online Learning Readiness (SOLR) instru­</w:t>
      </w:r>
    </w:p>
    <w:p>
      <w:pPr>
        <w:autoSpaceDN w:val="0"/>
        <w:autoSpaceDE w:val="0"/>
        <w:widowControl/>
        <w:spacing w:line="140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ment (Doctoral dissertation, Purdue University). ProQuest Dissertations &amp; Theses Global.</w:t>
      </w:r>
    </w:p>
    <w:p>
      <w:pPr>
        <w:autoSpaceDN w:val="0"/>
        <w:tabs>
          <w:tab w:pos="2412" w:val="left"/>
        </w:tabs>
        <w:autoSpaceDE w:val="0"/>
        <w:widowControl/>
        <w:spacing w:line="114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34.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Yusoff R, Ismail H, Mohamad F. Academia-indust</w:t>
      </w:r>
      <w:hyperlink r:id="rId148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ry collaboration: Strengthening skills dev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elopment for industrial growth in</w:t>
      </w:r>
    </w:p>
    <w:p>
      <w:pPr>
        <w:autoSpaceDN w:val="0"/>
        <w:autoSpaceDE w:val="0"/>
        <w:widowControl/>
        <w:spacing w:line="140" w:lineRule="exact" w:before="36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Malaysia. Asian J Eng Technol. 2018;10(1):14–23.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8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https://doi.org/10.1016/ajet.2018.01.004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35.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Zarate L, Perez R, Cid M. Evaluating engineeri</w:t>
      </w:r>
      <w:hyperlink r:id="rId149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ng graduate performance: A multivariate appr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oach for curriculum improve­</w:t>
      </w:r>
    </w:p>
    <w:p>
      <w:pPr>
        <w:autoSpaceDN w:val="0"/>
        <w:autoSpaceDE w:val="0"/>
        <w:widowControl/>
        <w:spacing w:line="138" w:lineRule="exact" w:before="42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ment. Int J Educational Dev. 2017;52:105–14.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9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https://doi.org/10.1016/j.ijedudev.2017.05.001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autoSpaceDE w:val="0"/>
        <w:widowControl/>
        <w:spacing w:line="148" w:lineRule="exact" w:before="388" w:after="0"/>
        <w:ind w:left="2112" w:right="0" w:firstLine="0"/>
        <w:jc w:val="left"/>
      </w:pPr>
      <w:r>
        <w:rPr>
          <w:spacing w:val="-10"/>
          <w:w w:val="98.0952399117606"/>
          <w:rFonts w:ascii="MyriadPro" w:hAnsi="MyriadPro" w:eastAsia="MyriadPro"/>
          <w:b/>
          <w:color w:val="000000"/>
          <w:sz w:val="21"/>
        </w:rPr>
        <w:t>Publisher’s Note</w:t>
      </w:r>
    </w:p>
    <w:p>
      <w:pPr>
        <w:autoSpaceDN w:val="0"/>
        <w:autoSpaceDE w:val="0"/>
        <w:widowControl/>
        <w:spacing w:line="170" w:lineRule="exact" w:before="46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Springer Nature remains neutral with regard to jurisdictional claims in published maps and institutional affiliations.</w:t>
      </w:r>
    </w:p>
    <w:sectPr w:rsidR="00FC693F" w:rsidRPr="0006063C" w:rsidSect="00034616">
      <w:pgSz w:w="11906" w:h="15874"/>
      <w:pgMar w:top="240" w:right="240" w:bottom="240" w:left="240" w:header="720" w:footer="720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9" Type="http://schemas.openxmlformats.org/officeDocument/2006/relationships/hyperlink" Target="https://doi.org/10.1007/s44217-026-01650-3" TargetMode="External"/><Relationship Id="rId10" Type="http://schemas.openxmlformats.org/officeDocument/2006/relationships/hyperlink" Target="http://orcid.org/0000-0001-9983-1207" TargetMode="External"/><Relationship Id="rId11" Type="http://schemas.openxmlformats.org/officeDocument/2006/relationships/hyperlink" Target="mailto:zacharia.katambara@must.ac.tz" TargetMode="External"/><Relationship Id="rId12" Type="http://schemas.openxmlformats.org/officeDocument/2006/relationships/hyperlink" Target="#nameddest=44217_2026_1650_Article.indd%3ACR29-DES%3A103" TargetMode="External"/><Relationship Id="rId13" Type="http://schemas.openxmlformats.org/officeDocument/2006/relationships/hyperlink" Target="http://creativecommons.org/licenses/by-nc-nd/4.0/" TargetMode="External"/><Relationship Id="rId14" Type="http://schemas.openxmlformats.org/officeDocument/2006/relationships/image" Target="media/image1.png"/><Relationship Id="rId15" Type="http://schemas.openxmlformats.org/officeDocument/2006/relationships/image" Target="media/image2.png"/><Relationship Id="rId16" Type="http://schemas.openxmlformats.org/officeDocument/2006/relationships/image" Target="media/image3.png"/><Relationship Id="rId17" Type="http://schemas.openxmlformats.org/officeDocument/2006/relationships/image" Target="media/image4.png"/><Relationship Id="rId18" Type="http://schemas.openxmlformats.org/officeDocument/2006/relationships/image" Target="media/image5.png"/><Relationship Id="rId19" Type="http://schemas.openxmlformats.org/officeDocument/2006/relationships/image" Target="media/image6.png"/><Relationship Id="rId20" Type="http://schemas.openxmlformats.org/officeDocument/2006/relationships/image" Target="media/image7.png"/><Relationship Id="rId21" Type="http://schemas.openxmlformats.org/officeDocument/2006/relationships/image" Target="media/image8.png"/><Relationship Id="rId22" Type="http://schemas.openxmlformats.org/officeDocument/2006/relationships/image" Target="media/image9.png"/><Relationship Id="rId23" Type="http://schemas.openxmlformats.org/officeDocument/2006/relationships/image" Target="media/image10.png"/><Relationship Id="rId24" Type="http://schemas.openxmlformats.org/officeDocument/2006/relationships/image" Target="media/image11.png"/><Relationship Id="rId25" Type="http://schemas.openxmlformats.org/officeDocument/2006/relationships/image" Target="media/image12.png"/><Relationship Id="rId26" Type="http://schemas.openxmlformats.org/officeDocument/2006/relationships/image" Target="media/image13.png"/><Relationship Id="rId27" Type="http://schemas.openxmlformats.org/officeDocument/2006/relationships/image" Target="media/image14.png"/><Relationship Id="rId28" Type="http://schemas.openxmlformats.org/officeDocument/2006/relationships/image" Target="media/image15.png"/><Relationship Id="rId29" Type="http://schemas.openxmlformats.org/officeDocument/2006/relationships/image" Target="media/image16.png"/><Relationship Id="rId30" Type="http://schemas.openxmlformats.org/officeDocument/2006/relationships/image" Target="media/image17.png"/><Relationship Id="rId31" Type="http://schemas.openxmlformats.org/officeDocument/2006/relationships/image" Target="media/image18.png"/><Relationship Id="rId32" Type="http://schemas.openxmlformats.org/officeDocument/2006/relationships/image" Target="media/image19.png"/><Relationship Id="rId33" Type="http://schemas.openxmlformats.org/officeDocument/2006/relationships/image" Target="media/image20.png"/><Relationship Id="rId34" Type="http://schemas.openxmlformats.org/officeDocument/2006/relationships/image" Target="media/image21.png"/><Relationship Id="rId35" Type="http://schemas.openxmlformats.org/officeDocument/2006/relationships/image" Target="media/image22.png"/><Relationship Id="rId36" Type="http://schemas.openxmlformats.org/officeDocument/2006/relationships/image" Target="media/image23.png"/><Relationship Id="rId37" Type="http://schemas.openxmlformats.org/officeDocument/2006/relationships/image" Target="media/image24.png"/><Relationship Id="rId38" Type="http://schemas.openxmlformats.org/officeDocument/2006/relationships/image" Target="media/image25.png"/><Relationship Id="rId39" Type="http://schemas.openxmlformats.org/officeDocument/2006/relationships/image" Target="media/image26.png"/><Relationship Id="rId40" Type="http://schemas.openxmlformats.org/officeDocument/2006/relationships/image" Target="media/image27.png"/><Relationship Id="rId41" Type="http://schemas.openxmlformats.org/officeDocument/2006/relationships/image" Target="media/image28.png"/><Relationship Id="rId42" Type="http://schemas.openxmlformats.org/officeDocument/2006/relationships/image" Target="media/image29.png"/><Relationship Id="rId43" Type="http://schemas.openxmlformats.org/officeDocument/2006/relationships/image" Target="media/image30.png"/><Relationship Id="rId44" Type="http://schemas.openxmlformats.org/officeDocument/2006/relationships/image" Target="media/image31.png"/><Relationship Id="rId45" Type="http://schemas.openxmlformats.org/officeDocument/2006/relationships/image" Target="media/image32.png"/><Relationship Id="rId46" Type="http://schemas.openxmlformats.org/officeDocument/2006/relationships/image" Target="media/image33.png"/><Relationship Id="rId47" Type="http://schemas.openxmlformats.org/officeDocument/2006/relationships/image" Target="media/image34.png"/><Relationship Id="rId48" Type="http://schemas.openxmlformats.org/officeDocument/2006/relationships/image" Target="media/image35.png"/><Relationship Id="rId49" Type="http://schemas.openxmlformats.org/officeDocument/2006/relationships/image" Target="media/image36.png"/><Relationship Id="rId50" Type="http://schemas.openxmlformats.org/officeDocument/2006/relationships/image" Target="media/image37.png"/><Relationship Id="rId51" Type="http://schemas.openxmlformats.org/officeDocument/2006/relationships/image" Target="media/image38.png"/><Relationship Id="rId52" Type="http://schemas.openxmlformats.org/officeDocument/2006/relationships/hyperlink" Target="#nameddest=44217_2026_1650_Article.indd%3ACR2-DES%3A104" TargetMode="External"/><Relationship Id="rId53" Type="http://schemas.openxmlformats.org/officeDocument/2006/relationships/hyperlink" Target="#nameddest=44217_2026_1650_Article.indd%3ACR31-DES%3A105" TargetMode="External"/><Relationship Id="rId54" Type="http://schemas.openxmlformats.org/officeDocument/2006/relationships/hyperlink" Target="#nameddest=44217_2026_1650_Article.indd%3ACR34-DES%3A106" TargetMode="External"/><Relationship Id="rId55" Type="http://schemas.openxmlformats.org/officeDocument/2006/relationships/hyperlink" Target="#nameddest=44217_2026_1650_Article.indd%3ACR20-DES%3A107" TargetMode="External"/><Relationship Id="rId56" Type="http://schemas.openxmlformats.org/officeDocument/2006/relationships/hyperlink" Target="#nameddest=44217_2026_1650_Article.indd%3ACR35-DES%3A108" TargetMode="External"/><Relationship Id="rId57" Type="http://schemas.openxmlformats.org/officeDocument/2006/relationships/hyperlink" Target="#nameddest=44217_2026_1650_Article.indd%3ACR14-DES%3A109" TargetMode="External"/><Relationship Id="rId58" Type="http://schemas.openxmlformats.org/officeDocument/2006/relationships/hyperlink" Target="#nameddest=44217_2026_1650_Article.indd%3ACR15-DES%3A110" TargetMode="External"/><Relationship Id="rId59" Type="http://schemas.openxmlformats.org/officeDocument/2006/relationships/hyperlink" Target="#nameddest=44217_2026_1650_Article.indd%3ACR3-DES%3A111" TargetMode="External"/><Relationship Id="rId60" Type="http://schemas.openxmlformats.org/officeDocument/2006/relationships/hyperlink" Target="#nameddest=44217_2026_1650_Article.indd%3ACR8-DES%3A112" TargetMode="External"/><Relationship Id="rId61" Type="http://schemas.openxmlformats.org/officeDocument/2006/relationships/hyperlink" Target="#nameddest=44217_2026_1650_Article.indd%3ACR28-DES%3A113" TargetMode="External"/><Relationship Id="rId62" Type="http://schemas.openxmlformats.org/officeDocument/2006/relationships/hyperlink" Target="#nameddest=44217_2026_1650_Article.indd%3ACR11-DES%3A114" TargetMode="External"/><Relationship Id="rId63" Type="http://schemas.openxmlformats.org/officeDocument/2006/relationships/hyperlink" Target="#nameddest=44217_2026_1650_Article.indd%3ACR22-DES%3A115" TargetMode="External"/><Relationship Id="rId64" Type="http://schemas.openxmlformats.org/officeDocument/2006/relationships/hyperlink" Target="#nameddest=44217_2026_1650_Article.indd%3ACR16-DES%3A116" TargetMode="External"/><Relationship Id="rId65" Type="http://schemas.openxmlformats.org/officeDocument/2006/relationships/hyperlink" Target="#nameddest=44217_2026_1650_Article.indd%3ACR33-DES%3A117" TargetMode="External"/><Relationship Id="rId66" Type="http://schemas.openxmlformats.org/officeDocument/2006/relationships/hyperlink" Target="#nameddest=44217_2026_1650_Article.indd%3ACR23-DES%3A118" TargetMode="External"/><Relationship Id="rId67" Type="http://schemas.openxmlformats.org/officeDocument/2006/relationships/hyperlink" Target="#nameddest=44217_2026_1650_Article.indd%3ACR30-DES%3A119" TargetMode="External"/><Relationship Id="rId68" Type="http://schemas.openxmlformats.org/officeDocument/2006/relationships/hyperlink" Target="#nameddest=44217_2026_1650_Article.indd%3ACR10-DES%3A120" TargetMode="External"/><Relationship Id="rId69" Type="http://schemas.openxmlformats.org/officeDocument/2006/relationships/hyperlink" Target="#nameddest=44217_2026_1650_Article.indd%3AFig1-DES%3A158" TargetMode="External"/><Relationship Id="rId70" Type="http://schemas.openxmlformats.org/officeDocument/2006/relationships/hyperlink" Target="#nameddest=44217_2026_1650_Article.indd%3ACR12-DES%3A122" TargetMode="External"/><Relationship Id="rId71" Type="http://schemas.openxmlformats.org/officeDocument/2006/relationships/hyperlink" Target="#nameddest=44217_2026_1650_Article.indd%3ACR1-DES%3A121" TargetMode="External"/><Relationship Id="rId72" Type="http://schemas.openxmlformats.org/officeDocument/2006/relationships/image" Target="media/image39.png"/><Relationship Id="rId73" Type="http://schemas.openxmlformats.org/officeDocument/2006/relationships/hyperlink" Target="#nameddest=44217_2026_1650_Article.indd%3ACR6-DES%3A123" TargetMode="External"/><Relationship Id="rId74" Type="http://schemas.openxmlformats.org/officeDocument/2006/relationships/hyperlink" Target="#nameddest=44217_2026_1650_Article.indd%3ACR7-DES%3A124" TargetMode="External"/><Relationship Id="rId75" Type="http://schemas.openxmlformats.org/officeDocument/2006/relationships/hyperlink" Target="#nameddest=44217_2026_1650_Article.indd%3ACR9-DES%3A125" TargetMode="External"/><Relationship Id="rId76" Type="http://schemas.openxmlformats.org/officeDocument/2006/relationships/hyperlink" Target="#nameddest=44217_2026_1650_Article.indd%3ACR25-DES%3A126" TargetMode="External"/><Relationship Id="rId77" Type="http://schemas.openxmlformats.org/officeDocument/2006/relationships/hyperlink" Target="#nameddest=44217_2026_1650_Article.indd%3ACR19-DES%3A127" TargetMode="External"/><Relationship Id="rId78" Type="http://schemas.openxmlformats.org/officeDocument/2006/relationships/hyperlink" Target="#nameddest=44217_2026_1650_Article.indd%3ACR27-DES%3A128" TargetMode="External"/><Relationship Id="rId79" Type="http://schemas.openxmlformats.org/officeDocument/2006/relationships/hyperlink" Target="#nameddest=44217_2026_1650_Article.indd%3ACR32-DES%3A129" TargetMode="External"/><Relationship Id="rId80" Type="http://schemas.openxmlformats.org/officeDocument/2006/relationships/hyperlink" Target="#nameddest=44217_2026_1650_Article.indd%3ATab1-DES%3A159" TargetMode="External"/><Relationship Id="rId81" Type="http://schemas.openxmlformats.org/officeDocument/2006/relationships/image" Target="media/image40.png"/><Relationship Id="rId82" Type="http://schemas.openxmlformats.org/officeDocument/2006/relationships/image" Target="media/image41.png"/><Relationship Id="rId83" Type="http://schemas.openxmlformats.org/officeDocument/2006/relationships/image" Target="media/image42.png"/><Relationship Id="rId84" Type="http://schemas.openxmlformats.org/officeDocument/2006/relationships/image" Target="media/image43.png"/><Relationship Id="rId85" Type="http://schemas.openxmlformats.org/officeDocument/2006/relationships/image" Target="media/image44.png"/><Relationship Id="rId86" Type="http://schemas.openxmlformats.org/officeDocument/2006/relationships/image" Target="media/image45.png"/><Relationship Id="rId87" Type="http://schemas.openxmlformats.org/officeDocument/2006/relationships/hyperlink" Target="#nameddest=44217_2026_1650_Article.indd%3ATab2-DES%3A160" TargetMode="External"/><Relationship Id="rId88" Type="http://schemas.openxmlformats.org/officeDocument/2006/relationships/hyperlink" Target="#nameddest=44217_2026_1650_Article.indd%3ATab3-DES%3A161" TargetMode="External"/><Relationship Id="rId89" Type="http://schemas.openxmlformats.org/officeDocument/2006/relationships/hyperlink" Target="#nameddest=44217_2026_1650_Article.indd%3ACR17-DES%3A130" TargetMode="External"/><Relationship Id="rId90" Type="http://schemas.openxmlformats.org/officeDocument/2006/relationships/hyperlink" Target="#nameddest=44217_2026_1650_Article.indd%3ACR26-DES%3A131" TargetMode="External"/><Relationship Id="rId91" Type="http://schemas.openxmlformats.org/officeDocument/2006/relationships/image" Target="media/image46.png"/><Relationship Id="rId92" Type="http://schemas.openxmlformats.org/officeDocument/2006/relationships/image" Target="media/image47.png"/><Relationship Id="rId93" Type="http://schemas.openxmlformats.org/officeDocument/2006/relationships/image" Target="media/image48.png"/><Relationship Id="rId94" Type="http://schemas.openxmlformats.org/officeDocument/2006/relationships/image" Target="media/image49.png"/><Relationship Id="rId95" Type="http://schemas.openxmlformats.org/officeDocument/2006/relationships/image" Target="media/image50.png"/><Relationship Id="rId96" Type="http://schemas.openxmlformats.org/officeDocument/2006/relationships/image" Target="media/image51.png"/><Relationship Id="rId97" Type="http://schemas.openxmlformats.org/officeDocument/2006/relationships/image" Target="media/image52.png"/><Relationship Id="rId98" Type="http://schemas.openxmlformats.org/officeDocument/2006/relationships/image" Target="media/image53.png"/><Relationship Id="rId99" Type="http://schemas.openxmlformats.org/officeDocument/2006/relationships/image" Target="media/image54.png"/><Relationship Id="rId100" Type="http://schemas.openxmlformats.org/officeDocument/2006/relationships/image" Target="media/image55.png"/><Relationship Id="rId101" Type="http://schemas.openxmlformats.org/officeDocument/2006/relationships/hyperlink" Target="#nameddest=44217_2026_1650_Article.indd%3ACR24-DES%3A132" TargetMode="External"/><Relationship Id="rId102" Type="http://schemas.openxmlformats.org/officeDocument/2006/relationships/hyperlink" Target="#nameddest=44217_2026_1650_Article.indd%3ACR18-DES%3A133" TargetMode="External"/><Relationship Id="rId103" Type="http://schemas.openxmlformats.org/officeDocument/2006/relationships/hyperlink" Target="#nameddest=44217_2026_1650_Article.indd%3AFig2-DES%3A162" TargetMode="External"/><Relationship Id="rId104" Type="http://schemas.openxmlformats.org/officeDocument/2006/relationships/image" Target="media/image56.png"/><Relationship Id="rId105" Type="http://schemas.openxmlformats.org/officeDocument/2006/relationships/hyperlink" Target="#nameddest=44217_2026_1650_Article.indd%3ACR21-DES%3A134" TargetMode="External"/><Relationship Id="rId106" Type="http://schemas.openxmlformats.org/officeDocument/2006/relationships/hyperlink" Target="#nameddest=44217_2026_1650_Article.indd%3ATab4-DES%3A163" TargetMode="External"/><Relationship Id="rId107" Type="http://schemas.openxmlformats.org/officeDocument/2006/relationships/hyperlink" Target="#nameddest=44217_2026_1650_Article.indd%3ACR5-DES%3A135" TargetMode="External"/><Relationship Id="rId108" Type="http://schemas.openxmlformats.org/officeDocument/2006/relationships/hyperlink" Target="#nameddest=44217_2026_1650_Article.indd%3AFig3-DES%3A164" TargetMode="External"/><Relationship Id="rId109" Type="http://schemas.openxmlformats.org/officeDocument/2006/relationships/hyperlink" Target="#nameddest=44217_2026_1650_Article.indd%3ACR13-DES%3A136" TargetMode="External"/><Relationship Id="rId110" Type="http://schemas.openxmlformats.org/officeDocument/2006/relationships/image" Target="media/image57.png"/><Relationship Id="rId111" Type="http://schemas.openxmlformats.org/officeDocument/2006/relationships/image" Target="media/image58.png"/><Relationship Id="rId112" Type="http://schemas.openxmlformats.org/officeDocument/2006/relationships/image" Target="media/image59.png"/><Relationship Id="rId113" Type="http://schemas.openxmlformats.org/officeDocument/2006/relationships/image" Target="media/image60.png"/><Relationship Id="rId114" Type="http://schemas.openxmlformats.org/officeDocument/2006/relationships/image" Target="media/image61.png"/><Relationship Id="rId115" Type="http://schemas.openxmlformats.org/officeDocument/2006/relationships/hyperlink" Target="#nameddest=44217_2026_1650_Article.indd%3ACR4-DES%3A137" TargetMode="External"/><Relationship Id="rId116" Type="http://schemas.openxmlformats.org/officeDocument/2006/relationships/hyperlink" Target="#nameddest=44217_2026_1650_Article.indd%3ATab5-DES%3A165" TargetMode="External"/><Relationship Id="rId117" Type="http://schemas.openxmlformats.org/officeDocument/2006/relationships/image" Target="media/image62.png"/><Relationship Id="rId118" Type="http://schemas.openxmlformats.org/officeDocument/2006/relationships/image" Target="media/image63.png"/><Relationship Id="rId119" Type="http://schemas.openxmlformats.org/officeDocument/2006/relationships/image" Target="media/image64.png"/><Relationship Id="rId120" Type="http://schemas.openxmlformats.org/officeDocument/2006/relationships/image" Target="media/image65.png"/><Relationship Id="rId121" Type="http://schemas.openxmlformats.org/officeDocument/2006/relationships/image" Target="media/image66.png"/><Relationship Id="rId122" Type="http://schemas.openxmlformats.org/officeDocument/2006/relationships/hyperlink" Target="#nameddest=44217_2026_1650_Article.indd%3ATab6-DES%3A166" TargetMode="External"/><Relationship Id="rId123" Type="http://schemas.openxmlformats.org/officeDocument/2006/relationships/image" Target="media/image67.png"/><Relationship Id="rId124" Type="http://schemas.openxmlformats.org/officeDocument/2006/relationships/image" Target="media/image68.png"/><Relationship Id="rId125" Type="http://schemas.openxmlformats.org/officeDocument/2006/relationships/image" Target="media/image69.png"/><Relationship Id="rId126" Type="http://schemas.openxmlformats.org/officeDocument/2006/relationships/image" Target="media/image70.png"/><Relationship Id="rId127" Type="http://schemas.openxmlformats.org/officeDocument/2006/relationships/image" Target="media/image71.png"/><Relationship Id="rId128" Type="http://schemas.openxmlformats.org/officeDocument/2006/relationships/hyperlink" Target="#nameddest=44217_2026_1650_Article.indd%3AFig4-DES%3A167" TargetMode="External"/><Relationship Id="rId129" Type="http://schemas.openxmlformats.org/officeDocument/2006/relationships/image" Target="media/image72.png"/><Relationship Id="rId130" Type="http://schemas.openxmlformats.org/officeDocument/2006/relationships/hyperlink" Target="https://doi.org/10.1002/wics.101" TargetMode="External"/><Relationship Id="rId131" Type="http://schemas.openxmlformats.org/officeDocument/2006/relationships/hyperlink" Target="https://typeset.io/papers/using-principal-component-analysis-to-support-students-dv35by90kf" TargetMode="External"/><Relationship Id="rId132" Type="http://schemas.openxmlformats.org/officeDocument/2006/relationships/image" Target="media/image73.png"/><Relationship Id="rId133" Type="http://schemas.openxmlformats.org/officeDocument/2006/relationships/image" Target="media/image74.png"/><Relationship Id="rId134" Type="http://schemas.openxmlformats.org/officeDocument/2006/relationships/image" Target="media/image75.png"/><Relationship Id="rId135" Type="http://schemas.openxmlformats.org/officeDocument/2006/relationships/hyperlink" Target="https://doi.org/10.1207/s15327906mbr0102_10" TargetMode="External"/><Relationship Id="rId136" Type="http://schemas.openxmlformats.org/officeDocument/2006/relationships/hyperlink" Target="https://doi.org/10.11648/j.ajtas.20160501.11" TargetMode="External"/><Relationship Id="rId137" Type="http://schemas.openxmlformats.org/officeDocument/2006/relationships/hyperlink" Target="https://typeset.io/papers/a-pca-study-of-student-performance-indicators-in-a-web-2-0-16yiao98ze" TargetMode="External"/><Relationship Id="rId138" Type="http://schemas.openxmlformats.org/officeDocument/2006/relationships/hyperlink" Target="https://doi.org/10.1109/ISCID.2015.270" TargetMode="External"/><Relationship Id="rId139" Type="http://schemas.openxmlformats.org/officeDocument/2006/relationships/hyperlink" Target="https://doi.org/10.1098/rsta.2015.0202" TargetMode="External"/><Relationship Id="rId140" Type="http://schemas.openxmlformats.org/officeDocument/2006/relationships/hyperlink" Target="https://doi.org/10.1177/001316446002000116" TargetMode="External"/><Relationship Id="rId141" Type="http://schemas.openxmlformats.org/officeDocument/2006/relationships/hyperlink" Target="https://doi.org/10.46606/eajess2025v06i01.0427" TargetMode="External"/><Relationship Id="rId142" Type="http://schemas.openxmlformats.org/officeDocument/2006/relationships/hyperlink" Target="https://doi.org/10.4236/ce.2025.163016" TargetMode="External"/><Relationship Id="rId143" Type="http://schemas.openxmlformats.org/officeDocument/2006/relationships/hyperlink" Target="https://doi.org/10.1109/ACCESS.2023.3277225" TargetMode="External"/><Relationship Id="rId144" Type="http://schemas.openxmlformats.org/officeDocument/2006/relationships/hyperlink" Target="https://doi.org/10.1080/13636820.2019.1564320" TargetMode="External"/><Relationship Id="rId145" Type="http://schemas.openxmlformats.org/officeDocument/2006/relationships/hyperlink" Target="https://doi.org/10.17485/IJST/v17i6.2175" TargetMode="External"/><Relationship Id="rId146" Type="http://schemas.openxmlformats.org/officeDocument/2006/relationships/hyperlink" Target="https://doi.org/10.1016/j.engstud.2020.02.005" TargetMode="External"/><Relationship Id="rId147" Type="http://schemas.openxmlformats.org/officeDocument/2006/relationships/hyperlink" Target="https://doi.org/10.24294/jipd.v8i6.3958" TargetMode="External"/><Relationship Id="rId148" Type="http://schemas.openxmlformats.org/officeDocument/2006/relationships/hyperlink" Target="https://doi.org/10.1016/ajet.2018.01.004" TargetMode="External"/><Relationship Id="rId149" Type="http://schemas.openxmlformats.org/officeDocument/2006/relationships/hyperlink" Target="https://doi.org/10.1016/j.ijedudev.2017.05.00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