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704850</wp:posOffset>
            </wp:positionH>
            <wp:positionV relativeFrom="page">
              <wp:posOffset>8553450</wp:posOffset>
            </wp:positionV>
            <wp:extent cx="368300" cy="3556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556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1168400</wp:posOffset>
            </wp:positionH>
            <wp:positionV relativeFrom="page">
              <wp:posOffset>8629650</wp:posOffset>
            </wp:positionV>
            <wp:extent cx="158750" cy="2095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2095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1346200</wp:posOffset>
            </wp:positionH>
            <wp:positionV relativeFrom="page">
              <wp:posOffset>8636000</wp:posOffset>
            </wp:positionV>
            <wp:extent cx="31750" cy="2032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2032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1403350</wp:posOffset>
            </wp:positionH>
            <wp:positionV relativeFrom="page">
              <wp:posOffset>8680450</wp:posOffset>
            </wp:positionV>
            <wp:extent cx="9525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1511300</wp:posOffset>
            </wp:positionH>
            <wp:positionV relativeFrom="page">
              <wp:posOffset>8680450</wp:posOffset>
            </wp:positionV>
            <wp:extent cx="11430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1638300</wp:posOffset>
            </wp:positionH>
            <wp:positionV relativeFrom="page">
              <wp:posOffset>8680450</wp:posOffset>
            </wp:positionV>
            <wp:extent cx="13335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1778000</wp:posOffset>
            </wp:positionH>
            <wp:positionV relativeFrom="page">
              <wp:posOffset>8686800</wp:posOffset>
            </wp:positionV>
            <wp:extent cx="133350" cy="152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52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1911350</wp:posOffset>
            </wp:positionH>
            <wp:positionV relativeFrom="page">
              <wp:posOffset>8680450</wp:posOffset>
            </wp:positionV>
            <wp:extent cx="12700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2063750</wp:posOffset>
            </wp:positionH>
            <wp:positionV relativeFrom="page">
              <wp:posOffset>8680450</wp:posOffset>
            </wp:positionV>
            <wp:extent cx="6985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6477000</wp:posOffset>
            </wp:positionH>
            <wp:positionV relativeFrom="page">
              <wp:posOffset>1441450</wp:posOffset>
            </wp:positionV>
            <wp:extent cx="361950" cy="3619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6451600</wp:posOffset>
            </wp:positionH>
            <wp:positionV relativeFrom="page">
              <wp:posOffset>1409700</wp:posOffset>
            </wp:positionV>
            <wp:extent cx="419100" cy="4254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254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6616700</wp:posOffset>
            </wp:positionH>
            <wp:positionV relativeFrom="page">
              <wp:posOffset>1473200</wp:posOffset>
            </wp:positionV>
            <wp:extent cx="88900" cy="127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27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6616700</wp:posOffset>
            </wp:positionH>
            <wp:positionV relativeFrom="page">
              <wp:posOffset>1473200</wp:posOffset>
            </wp:positionV>
            <wp:extent cx="88900" cy="127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27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6565900</wp:posOffset>
            </wp:positionH>
            <wp:positionV relativeFrom="page">
              <wp:posOffset>1454150</wp:posOffset>
            </wp:positionV>
            <wp:extent cx="190500" cy="196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6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6553200</wp:posOffset>
            </wp:positionH>
            <wp:positionV relativeFrom="page">
              <wp:posOffset>1511300</wp:posOffset>
            </wp:positionV>
            <wp:extent cx="184150" cy="1460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4150" cy="1460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6534150</wp:posOffset>
            </wp:positionH>
            <wp:positionV relativeFrom="page">
              <wp:posOffset>1663700</wp:posOffset>
            </wp:positionV>
            <wp:extent cx="3810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6572250</wp:posOffset>
            </wp:positionH>
            <wp:positionV relativeFrom="page">
              <wp:posOffset>1663700</wp:posOffset>
            </wp:positionV>
            <wp:extent cx="3175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6604000</wp:posOffset>
            </wp:positionH>
            <wp:positionV relativeFrom="page">
              <wp:posOffset>1676400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6635750</wp:posOffset>
            </wp:positionH>
            <wp:positionV relativeFrom="page">
              <wp:posOffset>1676400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6667500</wp:posOffset>
            </wp:positionH>
            <wp:positionV relativeFrom="page">
              <wp:posOffset>1663700</wp:posOffset>
            </wp:positionV>
            <wp:extent cx="3175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6711950</wp:posOffset>
            </wp:positionH>
            <wp:positionV relativeFrom="page">
              <wp:posOffset>1663700</wp:posOffset>
            </wp:positionV>
            <wp:extent cx="1905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6731000</wp:posOffset>
            </wp:positionH>
            <wp:positionV relativeFrom="page">
              <wp:posOffset>1676400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6762750</wp:posOffset>
            </wp:positionH>
            <wp:positionV relativeFrom="page">
              <wp:posOffset>1676400</wp:posOffset>
            </wp:positionV>
            <wp:extent cx="2540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6553200</wp:posOffset>
            </wp:positionH>
            <wp:positionV relativeFrom="page">
              <wp:posOffset>1727200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6584950</wp:posOffset>
            </wp:positionH>
            <wp:positionV relativeFrom="page">
              <wp:posOffset>1727200</wp:posOffset>
            </wp:positionV>
            <wp:extent cx="38100" cy="444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444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6616700</wp:posOffset>
            </wp:positionH>
            <wp:positionV relativeFrom="page">
              <wp:posOffset>1720850</wp:posOffset>
            </wp:positionV>
            <wp:extent cx="38100" cy="444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444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6654800</wp:posOffset>
            </wp:positionH>
            <wp:positionV relativeFrom="page">
              <wp:posOffset>1727200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6680200</wp:posOffset>
            </wp:positionH>
            <wp:positionV relativeFrom="page">
              <wp:posOffset>1720850</wp:posOffset>
            </wp:positionV>
            <wp:extent cx="25400" cy="444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5400" cy="444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6699250</wp:posOffset>
            </wp:positionH>
            <wp:positionV relativeFrom="page">
              <wp:posOffset>1727200</wp:posOffset>
            </wp:positionV>
            <wp:extent cx="3810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6731000</wp:posOffset>
            </wp:positionH>
            <wp:positionV relativeFrom="page">
              <wp:posOffset>1727200</wp:posOffset>
            </wp:positionV>
            <wp:extent cx="31750" cy="38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38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1149350</wp:posOffset>
            </wp:positionV>
            <wp:extent cx="6115050" cy="2095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2095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673100</wp:posOffset>
            </wp:positionH>
            <wp:positionV relativeFrom="page">
              <wp:posOffset>1098550</wp:posOffset>
            </wp:positionV>
            <wp:extent cx="6216650" cy="311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216650" cy="311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1847850</wp:posOffset>
            </wp:positionH>
            <wp:positionV relativeFrom="page">
              <wp:posOffset>2343150</wp:posOffset>
            </wp:positionV>
            <wp:extent cx="120650" cy="1143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0650" cy="1143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1882139</wp:posOffset>
            </wp:positionH>
            <wp:positionV relativeFrom="page">
              <wp:posOffset>2379980</wp:posOffset>
            </wp:positionV>
            <wp:extent cx="7620" cy="4698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620" cy="4698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1898650</wp:posOffset>
            </wp:positionH>
            <wp:positionV relativeFrom="page">
              <wp:posOffset>2374900</wp:posOffset>
            </wp:positionV>
            <wp:extent cx="44450" cy="571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571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1879600</wp:posOffset>
            </wp:positionH>
            <wp:positionV relativeFrom="page">
              <wp:posOffset>2362200</wp:posOffset>
            </wp:positionV>
            <wp:extent cx="1270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723900</wp:posOffset>
            </wp:positionH>
            <wp:positionV relativeFrom="page">
              <wp:posOffset>2785110</wp:posOffset>
            </wp:positionV>
            <wp:extent cx="13589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2235200</wp:posOffset>
            </wp:positionH>
            <wp:positionV relativeFrom="page">
              <wp:posOffset>2755900</wp:posOffset>
            </wp:positionV>
            <wp:extent cx="4629150" cy="43180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318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2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20" w:type="dxa"/>
        <w:gridCol w:w="3240" w:type="dxa"/>
        <w:gridCol w:w="4660" w:type="dxa"/>
      </w:tblGrid>
      <w:tr>
        <w:trPr>
          <w:trHeight w:hRule="exact" w:val="196"/>
        </w:trPr>
        <w:tc>
          <w:tcPr>
            <w:tcW w:type="dxa" w:w="2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14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6" w:after="0"/>
              <w:ind w:left="18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25"/>
              </w:rPr>
              <w:t>Discover Education</w:t>
            </w:r>
          </w:p>
        </w:tc>
      </w:tr>
    </w:tbl>
    <w:p>
      <w:pPr>
        <w:autoSpaceDN w:val="0"/>
        <w:autoSpaceDE w:val="0"/>
        <w:widowControl/>
        <w:spacing w:line="148" w:lineRule="exact" w:before="18" w:after="0"/>
        <w:ind w:left="894" w:right="0" w:firstLine="0"/>
        <w:jc w:val="left"/>
      </w:pPr>
      <w:hyperlink r:id="rId9" w:history="1">
        <w:r>
          <w:rPr>
            <w:rStyle w:val="Hyperlink"/>
            <w:rFonts w:ascii="MyriadPro" w:hAnsi="MyriadPro" w:eastAsia="MyriadPro" w:cs="MyriadPro"/>
            <w:sz w:val="16.0"/>
            <w:color w:val="000000"/>
            <w:spacing w:val="-10"/>
          </w:rPr>
          <w:t>https://doi.org/10.1007/s44217-026-01650-3</w:t>
        </w:r>
      </w:hyperlink>
    </w:p>
    <w:p>
      <w:pPr>
        <w:autoSpaceDN w:val="0"/>
        <w:tabs>
          <w:tab w:pos="9026" w:val="left"/>
        </w:tabs>
        <w:autoSpaceDE w:val="0"/>
        <w:widowControl/>
        <w:spacing w:line="228" w:lineRule="exact" w:before="772" w:after="0"/>
        <w:ind w:left="976" w:right="0" w:firstLine="0"/>
        <w:jc w:val="left"/>
      </w:pPr>
      <w:r>
        <w:rPr>
          <w:spacing w:val="-10"/>
          <w:rFonts w:ascii="MyriadPro" w:hAnsi="MyriadPro" w:eastAsia="MyriadPro"/>
          <w:b/>
          <w:color w:val="FFFFFF"/>
          <w:sz w:val="26"/>
        </w:rPr>
        <w:t xml:space="preserve">RESEARCH </w:t>
      </w:r>
      <w:r>
        <w:tab/>
      </w:r>
      <w:r>
        <w:rPr>
          <w:spacing w:val="-10"/>
          <w:rFonts w:ascii="MyriadPro" w:hAnsi="MyriadPro" w:eastAsia="MyriadPro"/>
          <w:b/>
          <w:color w:val="FFFFFF"/>
          <w:sz w:val="26"/>
        </w:rPr>
        <w:t>Open Access</w:t>
      </w:r>
    </w:p>
    <w:p>
      <w:pPr>
        <w:autoSpaceDN w:val="0"/>
        <w:autoSpaceDE w:val="0"/>
        <w:widowControl/>
        <w:spacing w:line="578" w:lineRule="exact" w:before="312" w:after="0"/>
        <w:ind w:left="894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47"/>
        </w:rPr>
        <w:t>Refining final-year engineering outcomes</w:t>
      </w:r>
    </w:p>
    <w:p>
      <w:pPr>
        <w:autoSpaceDN w:val="0"/>
        <w:autoSpaceDE w:val="0"/>
        <w:widowControl/>
        <w:spacing w:line="448" w:lineRule="exact" w:before="58" w:after="0"/>
        <w:ind w:left="894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47"/>
        </w:rPr>
        <w:t>at Mbeya</w:t>
      </w:r>
      <w:hyperlink r:id="rId10" w:history="1">
        <w:r>
          <w:rPr>
            <w:rStyle w:val="Hyperlink"/>
            <w:rFonts w:ascii="MyriadPro" w:hAnsi="MyriadPro" w:eastAsia="MyriadPro" w:cs="MyriadPro"/>
            <w:sz w:val="46.784610748291016"/>
            <w:color w:val="000000"/>
            <w:spacing w:val="-10"/>
          </w:rPr>
          <w:t xml:space="preserve"> U</w:t>
        </w:r>
      </w:hyperlink>
      <w:r>
        <w:rPr>
          <w:spacing w:val="-10"/>
          <w:rFonts w:ascii="MyriadPro" w:hAnsi="MyriadPro" w:eastAsia="MyriadPro"/>
          <w:color w:val="000000"/>
          <w:sz w:val="47"/>
        </w:rPr>
        <w:t>niversity, Tanzania</w:t>
      </w:r>
    </w:p>
    <w:p>
      <w:pPr>
        <w:autoSpaceDN w:val="0"/>
        <w:autoSpaceDE w:val="0"/>
        <w:widowControl/>
        <w:spacing w:line="196" w:lineRule="exact" w:before="180" w:after="510"/>
        <w:ind w:left="894" w:right="0" w:firstLine="0"/>
        <w:jc w:val="left"/>
      </w:pPr>
      <w:r>
        <w:rPr>
          <w:spacing w:val="-10"/>
          <w:w w:val="102.10927327473958"/>
          <w:rFonts w:ascii="MyriadPro" w:hAnsi="MyriadPro" w:eastAsia="MyriadPro"/>
          <w:color w:val="000000"/>
          <w:sz w:val="21"/>
        </w:rPr>
        <w:t>Zacharia Katambara</w:t>
      </w:r>
      <w:r>
        <w:rPr>
          <w:spacing w:val="-10"/>
          <w:rFonts w:ascii="MyriadPro" w:hAnsi="MyriadPro" w:eastAsia="MyriadPro"/>
          <w:color w:val="000000"/>
          <w:sz w:val="15"/>
        </w:rPr>
        <w:t>1</w:t>
      </w:r>
      <w:hyperlink r:id="rId10" w:history="1">
        <w:r>
          <w:rPr>
            <w:rStyle w:val="Hyperlink"/>
            <w:rFonts w:ascii="MyriadPro" w:hAnsi="MyriadPro" w:eastAsia="MyriadPro" w:cs="MyriadPro"/>
            <w:sz w:val="15.010063171386719"/>
            <w:color w:val="000000"/>
            <w:spacing w:val="-10"/>
          </w:rPr>
          <w:t>*</w:t>
        </w:r>
      </w:hyperlink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320" w:type="dxa"/>
        <w:gridCol w:w="5060" w:type="dxa"/>
      </w:tblGrid>
      <w:tr>
        <w:trPr>
          <w:trHeight w:hRule="exact" w:val="362"/>
        </w:trPr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6" w:lineRule="exact" w:before="60" w:after="0"/>
              <w:ind w:left="46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>*Correspondence:</w:t>
            </w:r>
          </w:p>
          <w:p>
            <w:pPr>
              <w:autoSpaceDN w:val="0"/>
              <w:autoSpaceDE w:val="0"/>
              <w:widowControl/>
              <w:spacing w:line="108" w:lineRule="exact" w:before="44" w:after="0"/>
              <w:ind w:left="46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>Zacharia Katambara</w:t>
            </w:r>
          </w:p>
        </w:tc>
        <w:tc>
          <w:tcPr>
            <w:tcW w:type="dxa" w:w="5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132" w:after="0"/>
              <w:ind w:left="694" w:right="0" w:firstLine="0"/>
              <w:jc w:val="left"/>
            </w:pPr>
            <w:r>
              <w:rPr>
                <w:spacing w:val="-10"/>
                <w:w w:val="98.0952399117606"/>
                <w:rFonts w:ascii="MyriadPro" w:hAnsi="MyriadPro" w:eastAsia="MyriadPro"/>
                <w:b/>
                <w:color w:val="000000"/>
                <w:sz w:val="21"/>
              </w:rPr>
              <w:t>Abstract</w:t>
            </w:r>
          </w:p>
        </w:tc>
      </w:tr>
    </w:tbl>
    <w:p>
      <w:pPr>
        <w:autoSpaceDN w:val="0"/>
        <w:tabs>
          <w:tab w:pos="3454" w:val="left"/>
        </w:tabs>
        <w:autoSpaceDE w:val="0"/>
        <w:widowControl/>
        <w:spacing w:line="136" w:lineRule="exact" w:before="0" w:after="0"/>
        <w:ind w:left="900" w:right="0" w:firstLine="0"/>
        <w:jc w:val="left"/>
      </w:pPr>
      <w:hyperlink r:id="rId11" w:history="1">
        <w:r>
          <w:rPr>
            <w:rStyle w:val="Hyperlink"/>
            <w:rFonts w:ascii="MyriadPro" w:hAnsi="MyriadPro" w:eastAsia="MyriadPro" w:cs="MyriadPro"/>
            <w:sz w:val="15.0"/>
            <w:color w:val="000000"/>
            <w:spacing w:val="-10"/>
          </w:rPr>
          <w:t xml:space="preserve">zacharia.katambara@must.ac.tz </w:t>
        </w:r>
      </w:hyperlink>
      <w:r>
        <w:tab/>
      </w:r>
      <w:r>
        <w:rPr>
          <w:spacing w:val="-10"/>
          <w:rFonts w:ascii="MyriadPro" w:hAnsi="MyriadPro" w:eastAsia="MyriadPro"/>
          <w:color w:val="000000"/>
          <w:sz w:val="20"/>
        </w:rPr>
        <w:t>Tanzania’s Vision 2025 agenda emphasise rapid industrialisation, necessitating 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740" w:type="dxa"/>
        <w:gridCol w:w="7640" w:type="dxa"/>
      </w:tblGrid>
      <w:tr>
        <w:trPr>
          <w:trHeight w:hRule="exact" w:val="746"/>
        </w:trPr>
        <w:tc>
          <w:tcPr>
            <w:tcW w:type="dxa" w:w="2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0" w:after="0"/>
              <w:ind w:left="460" w:right="144" w:firstLine="0"/>
              <w:jc w:val="left"/>
            </w:pPr>
            <w:r>
              <w:rPr>
                <w:spacing w:val="-10"/>
                <w:w w:val="105.0"/>
                <w:rFonts w:ascii="MyriadPro" w:hAnsi="MyriadPro" w:eastAsia="MyriadPro"/>
                <w:color w:val="000000"/>
                <w:sz w:val="10"/>
              </w:rPr>
              <w:t>1</w:t>
            </w: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 xml:space="preserve">Department of Civil Engineering, </w:t>
            </w:r>
            <w:r>
              <w:br/>
            </w: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 xml:space="preserve">College of Engineering and </w:t>
            </w:r>
            <w:r>
              <w:br/>
            </w: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 xml:space="preserve">Technology, Mbeya University of </w:t>
            </w:r>
            <w:r>
              <w:br/>
            </w:r>
            <w:r>
              <w:rPr>
                <w:spacing w:val="-10"/>
                <w:rFonts w:ascii="MyriadPro" w:hAnsi="MyriadPro" w:eastAsia="MyriadPro"/>
                <w:color w:val="000000"/>
                <w:sz w:val="15"/>
              </w:rPr>
              <w:t>Science and Technology, Mbeya,</w:t>
            </w:r>
          </w:p>
        </w:tc>
        <w:tc>
          <w:tcPr>
            <w:tcW w:type="dxa" w:w="7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8" w:lineRule="exact" w:before="20" w:after="0"/>
              <w:ind w:left="27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20"/>
              </w:rPr>
              <w:t>technically proficient workforce, particularly in mechanical engineering, to sustain</w:t>
            </w:r>
          </w:p>
          <w:p>
            <w:pPr>
              <w:autoSpaceDN w:val="0"/>
              <w:autoSpaceDE w:val="0"/>
              <w:widowControl/>
              <w:spacing w:line="188" w:lineRule="exact" w:before="46" w:after="0"/>
              <w:ind w:left="27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20"/>
              </w:rPr>
              <w:t>growth in manufacturing, mining, and infrastructure. This study evaluates the</w:t>
            </w:r>
          </w:p>
          <w:p>
            <w:pPr>
              <w:autoSpaceDN w:val="0"/>
              <w:autoSpaceDE w:val="0"/>
              <w:widowControl/>
              <w:spacing w:line="228" w:lineRule="exact" w:before="18" w:after="0"/>
              <w:ind w:left="27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20"/>
              </w:rPr>
              <w:t>academic performance of 117 final-year mechanical engineering students at Mbeya</w:t>
            </w:r>
          </w:p>
        </w:tc>
      </w:tr>
    </w:tbl>
    <w:p>
      <w:pPr>
        <w:autoSpaceDN w:val="0"/>
        <w:tabs>
          <w:tab w:pos="3454" w:val="left"/>
        </w:tabs>
        <w:autoSpaceDE w:val="0"/>
        <w:widowControl/>
        <w:spacing w:line="232" w:lineRule="exact" w:before="0" w:after="0"/>
        <w:ind w:left="900" w:right="1008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 xml:space="preserve">Tanzania </w:t>
      </w:r>
      <w:r>
        <w:tab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University of Science and Technology (MUST), employing Exploratory Analysis (EA) </w:t>
      </w:r>
      <w:r>
        <w:br/>
      </w:r>
      <w:r>
        <w:tab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and Principal Component Analysis (PCA) to uncover performance patterns and assess </w:t>
      </w:r>
      <w:r>
        <w:br/>
      </w:r>
      <w:r>
        <w:tab/>
      </w:r>
      <w:r>
        <w:rPr>
          <w:spacing w:val="-10"/>
          <w:rFonts w:ascii="MyriadPro" w:hAnsi="MyriadPro" w:eastAsia="MyriadPro"/>
          <w:color w:val="000000"/>
          <w:sz w:val="20"/>
        </w:rPr>
        <w:t>curriculum alignment with industrial competencies. Descriptive statistics revealed</w:t>
      </w:r>
    </w:p>
    <w:p>
      <w:pPr>
        <w:autoSpaceDN w:val="0"/>
        <w:autoSpaceDE w:val="0"/>
        <w:widowControl/>
        <w:spacing w:line="228" w:lineRule="exact" w:before="20" w:after="0"/>
        <w:ind w:left="0" w:right="1150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notable variability in course performance, while correlation analysis identified strong</w:t>
      </w:r>
    </w:p>
    <w:p>
      <w:pPr>
        <w:autoSpaceDN w:val="0"/>
        <w:autoSpaceDE w:val="0"/>
        <w:widowControl/>
        <w:spacing w:line="186" w:lineRule="exact" w:before="48" w:after="0"/>
        <w:ind w:left="0" w:right="1500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positive associations between GPA and key technical modules, notably ME 8401</w:t>
      </w:r>
    </w:p>
    <w:p>
      <w:pPr>
        <w:autoSpaceDN w:val="0"/>
        <w:autoSpaceDE w:val="0"/>
        <w:widowControl/>
        <w:spacing w:line="166" w:lineRule="exact" w:before="54" w:after="0"/>
        <w:ind w:left="0" w:right="1320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(Fluid Power and Control) and ME 8411 (Automation and Robotics). PCA extracted</w:t>
      </w:r>
    </w:p>
    <w:p>
      <w:pPr>
        <w:autoSpaceDN w:val="0"/>
        <w:autoSpaceDE w:val="0"/>
        <w:widowControl/>
        <w:spacing w:line="228" w:lineRule="exact" w:before="38" w:after="0"/>
        <w:ind w:left="0" w:right="1246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five principal components, explaining 58.2% of the total variance, with Component</w:t>
      </w:r>
    </w:p>
    <w:p>
      <w:pPr>
        <w:autoSpaceDN w:val="0"/>
        <w:autoSpaceDE w:val="0"/>
        <w:widowControl/>
        <w:spacing w:line="186" w:lineRule="exact" w:before="46" w:after="0"/>
        <w:ind w:left="0" w:right="1470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1 alone accounting for 30.4%, suggesting a dominant academic structure driven</w:t>
      </w:r>
    </w:p>
    <w:p>
      <w:pPr>
        <w:autoSpaceDN w:val="0"/>
        <w:autoSpaceDE w:val="0"/>
        <w:widowControl/>
        <w:spacing w:line="228" w:lineRule="exact" w:before="20" w:after="0"/>
        <w:ind w:left="0" w:right="1358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by technical proficiency. High factor loadings for ME 8411, ME 8401, and ME 8415</w:t>
      </w:r>
    </w:p>
    <w:p>
      <w:pPr>
        <w:autoSpaceDN w:val="0"/>
        <w:autoSpaceDE w:val="0"/>
        <w:widowControl/>
        <w:spacing w:line="238" w:lineRule="exact" w:before="0" w:after="0"/>
        <w:ind w:left="3454" w:right="1296" w:firstLine="0"/>
        <w:jc w:val="left"/>
      </w:pPr>
      <w:r>
        <w:rPr>
          <w:spacing w:val="-10"/>
          <w:rFonts w:ascii="MyriadPro" w:hAnsi="MyriadPro" w:eastAsia="MyriadPro"/>
          <w:color w:val="000000"/>
          <w:sz w:val="20"/>
        </w:rPr>
        <w:t xml:space="preserve">underscored their central role in student success. At the same time, low-loading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courses such as ME 8408 (Industrial Practical Training III) and ME 8413 highlighted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potential curricular misalignments. Based on these insights, the study concludes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that academic success in mechanical engineering at MUST is tightly linked to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>performance in core technical subjects. To align educational outcomes with</w:t>
      </w:r>
    </w:p>
    <w:p>
      <w:pPr>
        <w:autoSpaceDN w:val="0"/>
        <w:autoSpaceDE w:val="0"/>
        <w:widowControl/>
        <w:spacing w:line="228" w:lineRule="exact" w:before="20" w:after="0"/>
        <w:ind w:left="0" w:right="1128" w:firstLine="0"/>
        <w:jc w:val="right"/>
      </w:pPr>
      <w:r>
        <w:rPr>
          <w:spacing w:val="-10"/>
          <w:rFonts w:ascii="MyriadPro" w:hAnsi="MyriadPro" w:eastAsia="MyriadPro"/>
          <w:color w:val="000000"/>
          <w:sz w:val="20"/>
        </w:rPr>
        <w:t>Tanzania’s industrial goals, the study recommends targeted curriculum refinement of</w:t>
      </w:r>
    </w:p>
    <w:p>
      <w:pPr>
        <w:autoSpaceDN w:val="0"/>
        <w:autoSpaceDE w:val="0"/>
        <w:widowControl/>
        <w:spacing w:line="238" w:lineRule="exact" w:before="0" w:after="0"/>
        <w:ind w:left="3454" w:right="1008" w:firstLine="0"/>
        <w:jc w:val="left"/>
      </w:pPr>
      <w:r>
        <w:rPr>
          <w:spacing w:val="-10"/>
          <w:rFonts w:ascii="MyriadPro" w:hAnsi="MyriadPro" w:eastAsia="MyriadPro"/>
          <w:color w:val="000000"/>
          <w:sz w:val="20"/>
        </w:rPr>
        <w:t xml:space="preserve">underperforming modules, enhancing high-impact courses with structured academic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support, routine application of multivariate analytics for curriculum monitoring,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>faculty training in educational data analysis, and the establishment of formal industry-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 xml:space="preserve">academic partnerships. These data-driven reforms aim to foster a technically adept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>graduate pool that meets the evolving demands of Tanzania’s industrial landscape.</w:t>
      </w:r>
    </w:p>
    <w:p>
      <w:pPr>
        <w:autoSpaceDN w:val="0"/>
        <w:autoSpaceDE w:val="0"/>
        <w:widowControl/>
        <w:spacing w:line="238" w:lineRule="exact" w:before="64" w:after="0"/>
        <w:ind w:left="3454" w:right="1296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20"/>
        </w:rPr>
        <w:t>Keywords</w:t>
      </w:r>
      <w:r>
        <w:rPr>
          <w:spacing w:val="-10"/>
          <w:rFonts w:ascii="MyriadPro" w:hAnsi="MyriadPro" w:eastAsia="MyriadPro"/>
          <w:color w:val="000000"/>
          <w:sz w:val="20"/>
        </w:rPr>
        <w:t xml:space="preserve"> Mechanical engineering education, Principal component analysis, Skills </w:t>
      </w:r>
      <w:r>
        <w:br/>
      </w:r>
      <w:r>
        <w:rPr>
          <w:spacing w:val="-10"/>
          <w:rFonts w:ascii="MyriadPro" w:hAnsi="MyriadPro" w:eastAsia="MyriadPro"/>
          <w:color w:val="000000"/>
          <w:sz w:val="20"/>
        </w:rPr>
        <w:t>gap, Industrialisation, Workforce readiness</w:t>
      </w:r>
    </w:p>
    <w:p>
      <w:pPr>
        <w:autoSpaceDN w:val="0"/>
        <w:autoSpaceDE w:val="0"/>
        <w:widowControl/>
        <w:spacing w:line="150" w:lineRule="exact" w:before="560" w:after="0"/>
        <w:ind w:left="0" w:right="6716" w:firstLine="0"/>
        <w:jc w:val="righ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1 Introduction</w:t>
      </w:r>
    </w:p>
    <w:p>
      <w:pPr>
        <w:autoSpaceDN w:val="0"/>
        <w:autoSpaceDE w:val="0"/>
        <w:widowControl/>
        <w:spacing w:line="290" w:lineRule="exact" w:before="94" w:after="0"/>
        <w:ind w:left="0" w:right="894" w:firstLine="0"/>
        <w:jc w:val="righ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Tanzanian economy is transforming, prioritising industrial production as a cata­</w:t>
      </w:r>
    </w:p>
    <w:p>
      <w:pPr>
        <w:autoSpaceDN w:val="0"/>
        <w:autoSpaceDE w:val="0"/>
        <w:widowControl/>
        <w:spacing w:line="188" w:lineRule="exact" w:before="40" w:after="0"/>
        <w:ind w:left="0" w:right="894" w:firstLine="0"/>
        <w:jc w:val="righ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lyst for growth and development. Anchored by the Tanzania Development Vision 2025,</w:t>
      </w:r>
    </w:p>
    <w:p>
      <w:pPr>
        <w:autoSpaceDN w:val="0"/>
        <w:autoSpaceDE w:val="0"/>
        <w:widowControl/>
        <w:spacing w:line="310" w:lineRule="exact" w:before="0" w:after="0"/>
        <w:ind w:left="3312" w:right="894" w:firstLine="0"/>
        <w:jc w:val="righ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country is transitioning from an agrarian to an industrialised economy, focusing on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manufacturing, mining and infrastructure development [</w:t>
      </w:r>
      <w:hyperlink r:id="rId12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This transition highlights</w:t>
      </w:r>
    </w:p>
    <w:p>
      <w:pPr>
        <w:autoSpaceDN w:val="0"/>
        <w:autoSpaceDE w:val="0"/>
        <w:widowControl/>
        <w:spacing w:line="126" w:lineRule="exact" w:before="564" w:after="0"/>
        <w:ind w:left="0" w:right="902" w:firstLine="0"/>
        <w:jc w:val="right"/>
      </w:pP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©TheAuthor(s)2026.</w:t>
      </w:r>
      <w:r>
        <w:rPr>
          <w:spacing w:val="-10"/>
          <w:w w:val="97.46794019426618"/>
          <w:rFonts w:ascii="MyriadPro" w:hAnsi="MyriadPro" w:eastAsia="MyriadPro"/>
          <w:b/>
          <w:color w:val="000000"/>
          <w:sz w:val="14"/>
        </w:rPr>
        <w:t>OpenAccess</w:t>
      </w: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 xml:space="preserve"> ThisarticleislicensedunderaCreativeCommonsAttribution-NonCommercial-NoDerivatives4.0International</w:t>
      </w:r>
    </w:p>
    <w:p>
      <w:pPr>
        <w:autoSpaceDN w:val="0"/>
        <w:autoSpaceDE w:val="0"/>
        <w:widowControl/>
        <w:spacing w:line="132" w:lineRule="exact" w:before="32" w:after="0"/>
        <w:ind w:left="0" w:right="902" w:firstLine="0"/>
        <w:jc w:val="right"/>
      </w:pP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License, which permits any non-commercial use, sharing, distribution and reproduction in any medium or format, as long as you give appropriate</w:t>
      </w:r>
    </w:p>
    <w:p>
      <w:pPr>
        <w:autoSpaceDN w:val="0"/>
        <w:autoSpaceDE w:val="0"/>
        <w:widowControl/>
        <w:spacing w:line="158" w:lineRule="exact" w:before="6" w:after="0"/>
        <w:ind w:left="0" w:right="902" w:firstLine="0"/>
        <w:jc w:val="right"/>
      </w:pP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credit to the original author(s) and the source, provide a link to the Creative Commons licence, and indicate if you modified the licensed material.</w:t>
      </w:r>
    </w:p>
    <w:p>
      <w:pPr>
        <w:autoSpaceDN w:val="0"/>
        <w:autoSpaceDE w:val="0"/>
        <w:widowControl/>
        <w:spacing w:line="132" w:lineRule="exact" w:before="24" w:after="0"/>
        <w:ind w:left="0" w:right="902" w:firstLine="0"/>
        <w:jc w:val="right"/>
      </w:pP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You do not have permission under this licence to share adapted material derived from this article or parts of it. The images or other third party</w:t>
      </w:r>
    </w:p>
    <w:p>
      <w:pPr>
        <w:autoSpaceDN w:val="0"/>
        <w:autoSpaceDE w:val="0"/>
        <w:widowControl/>
        <w:spacing w:line="160" w:lineRule="exact" w:before="0" w:after="0"/>
        <w:ind w:left="3324" w:right="902" w:firstLine="0"/>
        <w:jc w:val="both"/>
      </w:pP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 xml:space="preserve">material in this article are included in the article’s Creative Commons licence, unless indicated otherwise in a credit line to the material. If material </w:t>
      </w:r>
      <w:r>
        <w:br/>
      </w:r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is not included in the article’s Creative Commons licence and your intended use is not permitted by statutory r</w:t>
      </w:r>
      <w:hyperlink r:id="rId13" w:history="1">
        <w:r>
          <w:rPr>
            <w:rStyle w:val="Hyperlink"/>
            <w:rFonts w:ascii="MyriadPro" w:hAnsi="MyriadPro" w:eastAsia="MyriadPro" w:cs="MyriadPro"/>
            <w:sz w:val="13.645511627197266"/>
            <w:color w:val="000000"/>
            <w:w w:val="97.46794019426618"/>
            <w:spacing w:val="-10"/>
          </w:rPr>
          <w:t xml:space="preserve">egulation or exceeds the permitted </w:t>
        </w:r>
      </w:hyperlink>
      <w:r>
        <w:br/>
      </w:r>
      <w:hyperlink r:id="rId13" w:history="1">
        <w:r>
          <w:rPr>
            <w:rStyle w:val="Hyperlink"/>
            <w:rFonts w:ascii="MyriadPro" w:hAnsi="MyriadPro" w:eastAsia="MyriadPro" w:cs="MyriadPro"/>
            <w:sz w:val="13.645511627197266"/>
            <w:color w:val="000000"/>
            <w:w w:val="97.46794019426618"/>
            <w:spacing w:val="-10"/>
          </w:rPr>
          <w:t>use, you will nee</w:t>
        </w:r>
      </w:hyperlink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d to obtain permission directly from the copyright holder. To view a copy of this licence, visit</w:t>
      </w:r>
      <w:r>
        <w:rPr>
          <w:spacing w:val="-10"/>
          <w:w w:val="97.46794019426618"/>
          <w:rFonts w:ascii="MyriadPro" w:hAnsi="MyriadPro" w:eastAsia="MyriadPro"/>
          <w:color w:val="0000FF"/>
          <w:sz w:val="14"/>
        </w:rPr>
        <w:t xml:space="preserve"> </w:t>
      </w:r>
      <w:hyperlink r:id="rId13" w:history="1">
        <w:r>
          <w:rPr>
            <w:rStyle w:val="Hyperlink"/>
            <w:rFonts w:ascii="MyriadPro" w:hAnsi="MyriadPro" w:eastAsia="MyriadPro" w:cs="MyriadPro"/>
            <w:sz w:val="13.645511627197266"/>
            <w:color w:val="0000FF"/>
            <w:w w:val="97.46794019426618"/>
            <w:spacing w:val="-10"/>
          </w:rPr>
          <w:t xml:space="preserve">http://creativecommons.org/licens </w:t>
        </w:r>
      </w:hyperlink>
      <w:r>
        <w:br/>
      </w:r>
      <w:hyperlink r:id="rId13" w:history="1">
        <w:r>
          <w:rPr>
            <w:rStyle w:val="Hyperlink"/>
            <w:rFonts w:ascii="MyriadPro" w:hAnsi="MyriadPro" w:eastAsia="MyriadPro" w:cs="MyriadPro"/>
            <w:sz w:val="13.645511627197266"/>
            <w:color w:val="0000FF"/>
            <w:w w:val="97.46794019426618"/>
            <w:spacing w:val="-10"/>
          </w:rPr>
          <w:t>es/by-nc-nd/4.0/</w:t>
        </w:r>
      </w:hyperlink>
      <w:r>
        <w:rPr>
          <w:spacing w:val="-10"/>
          <w:w w:val="97.46794019426618"/>
          <w:rFonts w:ascii="MyriadPro" w:hAnsi="MyriadPro" w:eastAsia="MyriadPro"/>
          <w:color w:val="000000"/>
          <w:sz w:val="14"/>
        </w:rPr>
        <w:t>.</w:t>
      </w:r>
    </w:p>
    <w:p>
      <w:pPr>
        <w:sectPr>
          <w:pgSz w:w="11906" w:h="15874"/>
          <w:pgMar w:top="240" w:right="240" w:bottom="11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2 of 18</w:t>
            </w:r>
          </w:p>
        </w:tc>
      </w:tr>
    </w:tbl>
    <w:p>
      <w:pPr>
        <w:autoSpaceDN w:val="0"/>
        <w:autoSpaceDE w:val="0"/>
        <w:widowControl/>
        <w:spacing w:line="282" w:lineRule="exact" w:before="682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crucial need for a highly skilled workforce, particularly in mechanical engine</w:t>
      </w:r>
      <w:hyperlink r:id="rId52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ing, to design, maintain, and innovate machinery essential for industrial processes [</w:t>
      </w:r>
      <w:hyperlink r:id="rId52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Global examples from China, Malaysia and Germany offer valuable lessons in aligning</w:t>
      </w:r>
    </w:p>
    <w:p>
      <w:pPr>
        <w:autoSpaceDN w:val="0"/>
        <w:autoSpaceDE w:val="0"/>
        <w:widowControl/>
        <w:spacing w:line="272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engineering education with industrialisation goals. China’s emergence as a worldwide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industrial leader is </w:t>
      </w:r>
      <w:hyperlink r:id="rId53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at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tributed to its emphasis on engineering education and techno­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logical innovation [</w:t>
      </w:r>
      <w:hyperlink r:id="rId53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Similarly, Malaysia’s collaborative approach bet</w:t>
      </w:r>
      <w:hyperlink r:id="rId54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we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 academia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industry ensures that skills development meets market demands [</w:t>
      </w:r>
      <w:hyperlink r:id="rId54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]. Germany’s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dual education system integrates vocational training with theoretical learning and has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</w:t>
      </w:r>
      <w:hyperlink r:id="rId5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ro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ven effective in developing a workforce capable of sustaining industrial innovation</w:t>
      </w:r>
    </w:p>
    <w:p>
      <w:pPr>
        <w:autoSpaceDN w:val="0"/>
        <w:autoSpaceDE w:val="0"/>
        <w:widowControl/>
        <w:spacing w:line="27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[</w:t>
      </w:r>
      <w:hyperlink r:id="rId5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20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Addressing the mechanical engineering skills gap is crucial for Tanzania’s indus­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trial ambitions, especially in key sectors such as manufacturing, energy, mining,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transportation. As the nation strives to become a semi-industrialised, middle-income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economy by 2025, its Vision 2025 goal of closing this gap is essential for enhancing local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technical capacity, increasing productivity, and reducing reliance on foreign expertise.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Mechanical engineering, established at Mbeya University of Science and Technology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(MUST) in 1985, remains a cornerstone of the country’s industrial development strategy.</w:t>
      </w:r>
    </w:p>
    <w:p>
      <w:pPr>
        <w:autoSpaceDN w:val="0"/>
        <w:autoSpaceDE w:val="0"/>
        <w:widowControl/>
        <w:spacing w:line="284" w:lineRule="exact" w:before="5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 multivariate analysis of the performance of 2023/2024 final-year mechanical engineer­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students at the University offers critical insights into their readiness to meet industry</w:t>
      </w:r>
    </w:p>
    <w:p>
      <w:pPr>
        <w:autoSpaceDN w:val="0"/>
        <w:autoSpaceDE w:val="0"/>
        <w:widowControl/>
        <w:spacing w:line="276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dem</w:t>
      </w:r>
      <w:hyperlink r:id="rId56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ds, focusing on technical competencies, problem-solving abilities and adaptabil­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ity [</w:t>
      </w:r>
      <w:hyperlink r:id="rId5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Aligning engineering education with industrialisation goals r</w:t>
      </w:r>
      <w:hyperlink r:id="rId57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eq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uires evidence-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based strategies, as recent studies at MUST demonstrate. Katambara [</w:t>
      </w:r>
      <w:hyperlink r:id="rId57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 employed the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Principal Component Analysis (PCA) approach to evaluate Electrical and Electronics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Engineering students, uncovering disparities across theoretical, pr</w:t>
      </w:r>
      <w:hyperlink r:id="rId58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oje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ct-based and spe­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cialised training dimensions. Similarly, Katambara and William [</w:t>
      </w:r>
      <w:hyperlink r:id="rId5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 applied PCA to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Civil Engineering students, identifying three principal performance domains: core aca­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demic knowledge, specialised applied skills and advanced independent competencies.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These findings underscore the potential of multivariate analysis in uncovering latent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performance structures and curriculum misalignments. Mechanical engineering educa­</w:t>
      </w:r>
    </w:p>
    <w:p>
      <w:pPr>
        <w:autoSpaceDN w:val="0"/>
        <w:autoSpaceDE w:val="0"/>
        <w:widowControl/>
        <w:spacing w:line="284" w:lineRule="exact" w:before="5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tion, therefore, stands to benefit significantly from such analytical frameworks, enabling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curriculum refinement that bridges the skills gap, fosters industry-ready graduates, and</w:t>
      </w:r>
    </w:p>
    <w:p>
      <w:pPr>
        <w:autoSpaceDN w:val="0"/>
        <w:autoSpaceDE w:val="0"/>
        <w:widowControl/>
        <w:spacing w:line="184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propels Tanzania’s industrial transformation.</w:t>
      </w:r>
    </w:p>
    <w:p>
      <w:pPr>
        <w:autoSpaceDN w:val="0"/>
        <w:autoSpaceDE w:val="0"/>
        <w:widowControl/>
        <w:spacing w:line="282" w:lineRule="exact" w:before="4" w:after="0"/>
        <w:ind w:left="2112" w:right="2112" w:firstLine="16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Multivariate analysis techniques, particularly PCA and EA, have become indispens­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able in educational research for analysing and interpreting complex datasets on students’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performance. PCA, a robust dimensionality reduction technique, transforms original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variables into orthogonal components that maximise variance, enabling the identific</w:t>
      </w:r>
      <w:hyperlink r:id="rId59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­</w:t>
      </w:r>
    </w:p>
    <w:p>
      <w:pPr>
        <w:autoSpaceDN w:val="0"/>
        <w:autoSpaceDE w:val="0"/>
        <w:widowControl/>
        <w:spacing w:line="252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 of hidden patterns and structures within the data. For instance, Borges et al., [</w:t>
      </w:r>
      <w:hyperlink r:id="rId5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utilised PCA to predict students’ performance and uncover implicit patterns in datas­</w:t>
      </w:r>
    </w:p>
    <w:p>
      <w:pPr>
        <w:autoSpaceDN w:val="0"/>
        <w:autoSpaceDE w:val="0"/>
        <w:widowControl/>
        <w:spacing w:line="282" w:lineRule="exact" w:before="62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ets that incorporated social and personal characteristics. The findings demonstrated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that PCA effectively retained critical information, even after dimensionality reduction,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ther</w:t>
      </w:r>
      <w:hyperlink r:id="rId60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by enhancing the interpretability of the educational data. Similarly, Giovannella et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al. [</w:t>
      </w:r>
      <w:hyperlink r:id="rId6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8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 applied PCA within Web 2.0-based learning environments to examine the rela­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tionship between student activities and final academic performance, revealing that spe­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cific online activities predicted academic success and highlighting PCA’s relevance in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aligning perform</w:t>
      </w:r>
      <w:hyperlink r:id="rId61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ce indicators with modern educational technologies. Additionally,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Twenefour et al. [</w:t>
      </w:r>
      <w:hyperlink r:id="rId6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28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 employed PCA to address inconsistencies in grading systems, pro­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posing a novel performance metric derived from principal components, which offered a</w:t>
      </w:r>
    </w:p>
    <w:p>
      <w:pPr>
        <w:sectPr>
          <w:pgSz w:w="11906" w:h="15874"/>
          <w:pgMar w:top="240" w:right="240" w:bottom="12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3 of 18</w:t>
            </w:r>
          </w:p>
        </w:tc>
      </w:tr>
    </w:tbl>
    <w:p>
      <w:pPr>
        <w:autoSpaceDN w:val="0"/>
        <w:autoSpaceDE w:val="0"/>
        <w:widowControl/>
        <w:spacing w:line="290" w:lineRule="exact" w:before="73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more nuanced evaluation of individual student differences and improved the fairness of</w:t>
      </w:r>
    </w:p>
    <w:p>
      <w:pPr>
        <w:autoSpaceDN w:val="0"/>
        <w:autoSpaceDE w:val="0"/>
        <w:widowControl/>
        <w:spacing w:line="118" w:lineRule="exact" w:before="64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assessments.</w:t>
      </w:r>
    </w:p>
    <w:p>
      <w:pPr>
        <w:autoSpaceDN w:val="0"/>
        <w:autoSpaceDE w:val="0"/>
        <w:widowControl/>
        <w:spacing w:line="284" w:lineRule="exact" w:before="100" w:after="0"/>
        <w:ind w:left="2112" w:right="2114" w:firstLine="16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Complementing PCA, EA offers a flexible framework for identifying latent trends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relationships in data without requiring predefined hypotheses. Hu et al. [</w:t>
      </w:r>
      <w:hyperlink r:id="rId62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 demon­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strated the effectiveness of integrating PCA into an EA framework for evaluating teach­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quality in higher education. They validated their assessment tool using Cronbach’s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alpha, reinforcing the value of multivariate approaches in robust, statistically sound eval­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uations of educational programs. Collectively, these studies highlight the pivotal role of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PCA and EA techniques in enhancing the understanding of student performance across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diverse educational settings, thereby forming a strong foundation for the present study.</w:t>
      </w:r>
    </w:p>
    <w:p>
      <w:pPr>
        <w:autoSpaceDN w:val="0"/>
        <w:autoSpaceDE w:val="0"/>
        <w:widowControl/>
        <w:spacing w:line="284" w:lineRule="exact" w:before="0" w:after="0"/>
        <w:ind w:left="2112" w:right="2112" w:firstLine="16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Across recent research, several core EA techniques have emerged as essential tools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for analysing educational datasets. PCA remains a dominant method for dimensio</w:t>
      </w:r>
      <w:hyperlink r:id="rId59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</w:t>
      </w:r>
      <w:hyperlink r:id="rId60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it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reduction, preserving critical variance while simplifying complex data structures [</w:t>
      </w:r>
      <w:hyperlink r:id="rId5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,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6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8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Complementing this, clustering techniques, particularly K-means clustering combined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with the Elbow method and Silhouette scores, have been </w:t>
      </w:r>
      <w:hyperlink r:id="rId63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wi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dely applied to uncover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latent groupings and behavioural patterns among students [</w:t>
      </w:r>
      <w:hyperlink r:id="rId63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Furthermore, correla­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tion analysis and advanced visualisation methods have proven instrumental for pattern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</w:t>
      </w:r>
      <w:hyperlink r:id="rId64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et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ection and mapping relationships between variables in large-scale educational studies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[</w:t>
      </w:r>
      <w:hyperlink r:id="rId64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16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Finally, exploratory factor analysis (EFA) has been extensively used for validating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psychometric instruments, exemplified by the </w:t>
      </w:r>
      <w:hyperlink r:id="rId6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de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velopment and validation of the Stu­</w:t>
      </w:r>
    </w:p>
    <w:p>
      <w:pPr>
        <w:autoSpaceDN w:val="0"/>
        <w:autoSpaceDE w:val="0"/>
        <w:widowControl/>
        <w:spacing w:line="254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dent Online Learning Readiness (SOLR) model [</w:t>
      </w:r>
      <w:hyperlink r:id="rId6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thus highlighting the EA’s dual con­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tribution to exploratory insights and the strengthening of measurement precision within</w:t>
      </w:r>
    </w:p>
    <w:p>
      <w:pPr>
        <w:autoSpaceDN w:val="0"/>
        <w:autoSpaceDE w:val="0"/>
        <w:widowControl/>
        <w:spacing w:line="284" w:lineRule="exact" w:before="56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educational research. The purpose of this study is to apply multivariate analysis tech­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niques, specifically PCA and complementary EA, to assess the academic performance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of final-year mechanical engineering students at Mbeya University of Science and Tech­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nology (MUST). By identifying latent performance structures and potential curriculum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gaps, the study aims to generate evidence-based insights that can inform curriculum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refinement, enhance graduate readiness, and align mechanical engineering education</w:t>
      </w:r>
    </w:p>
    <w:p>
      <w:pPr>
        <w:autoSpaceDN w:val="0"/>
        <w:autoSpaceDE w:val="0"/>
        <w:widowControl/>
        <w:spacing w:line="188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with Tanzania’s Vision 2025 industrialisation objectives.</w:t>
      </w:r>
    </w:p>
    <w:p>
      <w:pPr>
        <w:autoSpaceDN w:val="0"/>
        <w:autoSpaceDE w:val="0"/>
        <w:widowControl/>
        <w:spacing w:line="286" w:lineRule="exact" w:before="272" w:after="0"/>
        <w:ind w:left="2112" w:right="2016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 xml:space="preserve">2 Conceptual framework: outcome-based education and data-driven </w:t>
      </w:r>
      <w:r>
        <w:br/>
      </w: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 xml:space="preserve">evaluation of learning outcomes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Outcome-Based Education (OBE) organises curriculum design, teaching strategies, and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assessment around clearly defined learning outc</w:t>
      </w:r>
      <w:hyperlink r:id="rId66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o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mes that students are expected to dem­</w:t>
      </w:r>
    </w:p>
    <w:p>
      <w:pPr>
        <w:autoSpaceDN w:val="0"/>
        <w:autoSpaceDE w:val="0"/>
        <w:widowControl/>
        <w:spacing w:line="270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onstrate upon completing a program. Spady, [</w:t>
      </w:r>
      <w:hyperlink r:id="rId6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 argues that this approach shifts the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emphasis from the mere delivery of course content to the achievement of measurable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competencies. Within this framework, learning outcomes guide instructional planning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and assessment practices to ensure that students acquire knowledge, technical abilities,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professional skills relevant to real-world contexts.</w:t>
      </w:r>
    </w:p>
    <w:p>
      <w:pPr>
        <w:autoSpaceDN w:val="0"/>
        <w:autoSpaceDE w:val="0"/>
        <w:widowControl/>
        <w:spacing w:line="284" w:lineRule="exact" w:before="2" w:after="0"/>
        <w:ind w:left="2112" w:right="2016" w:firstLine="16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 central principle supporting OBE is constructive alignment, which ensures that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learning outcomes, teaching activities, and assessment methods are coherently linked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[</w:t>
      </w:r>
      <w:hyperlink r:id="rId67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30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Through this alignment, educational programs can more effectively evaluate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whether students have developed the competencies required for professional practice.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 engineering education, such alignment is particularly important because programs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must demonstrate that graduates possess the analytical, t</w:t>
      </w:r>
      <w:hyperlink r:id="rId68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ec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hnical, and problem-solving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capabilities expected by industry and professional bodies [</w:t>
      </w:r>
      <w:hyperlink r:id="rId6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10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sectPr>
          <w:pgSz w:w="11906" w:h="15874"/>
          <w:pgMar w:top="240" w:right="240" w:bottom="126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1619250</wp:posOffset>
            </wp:positionH>
            <wp:positionV relativeFrom="page">
              <wp:posOffset>6496050</wp:posOffset>
            </wp:positionV>
            <wp:extent cx="4324350" cy="2482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4828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4 of 18</w:t>
            </w:r>
          </w:p>
        </w:tc>
      </w:tr>
    </w:tbl>
    <w:p>
      <w:pPr>
        <w:autoSpaceDN w:val="0"/>
        <w:autoSpaceDE w:val="0"/>
        <w:widowControl/>
        <w:spacing w:line="188" w:lineRule="exact" w:before="776" w:after="0"/>
        <w:ind w:left="227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 this context, quantitative educational analytics provide an important mechanism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for evaluating how well academic outcomes reflect actual student performance patterns.</w:t>
      </w:r>
    </w:p>
    <w:p>
      <w:pPr>
        <w:autoSpaceDN w:val="0"/>
        <w:autoSpaceDE w:val="0"/>
        <w:widowControl/>
        <w:spacing w:line="272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Multivariate statistical techniques allow researchers to examine relationships among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course results, uncover hidden performance structures, and identify areas where curric­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ulum delivery may require improvement. By integrating such analytical approaches with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principles of OBE, educational institutions can move beyond descriptive evalua­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 toward evidence-based curriculum development. Consequently, applying advanced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exploratory and dimensionality-reduction techniques to student performance data offers</w:t>
      </w:r>
    </w:p>
    <w:p>
      <w:pPr>
        <w:autoSpaceDN w:val="0"/>
        <w:autoSpaceDE w:val="0"/>
        <w:widowControl/>
        <w:spacing w:line="264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 systematic approach for identifying latent learning patterns, diagnosing curriculum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strengths and weaknesses, and aligning engineering education outcomes with national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industrial development goals.</w:t>
      </w:r>
    </w:p>
    <w:p>
      <w:pPr>
        <w:autoSpaceDN w:val="0"/>
        <w:autoSpaceDE w:val="0"/>
        <w:widowControl/>
        <w:spacing w:line="192" w:lineRule="exact" w:before="372" w:after="0"/>
        <w:ind w:left="2112" w:right="0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3 Methodology</w:t>
      </w:r>
    </w:p>
    <w:p>
      <w:pPr>
        <w:autoSpaceDN w:val="0"/>
        <w:autoSpaceDE w:val="0"/>
        <w:widowControl/>
        <w:spacing w:line="282" w:lineRule="exact" w:before="6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study employed a quantitative, exploratory approach to analyse students’ perfor­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mance data using EA and PCA (Fig.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6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). The methodology was designed to uncover hid­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den patterns, reduce data dimensionality and enhance the interpretation of academic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outcomes. A structured dataset, rigorous statistical procedures and ethical safeguards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underpinned the research process.</w:t>
      </w:r>
    </w:p>
    <w:p>
      <w:pPr>
        <w:autoSpaceDN w:val="0"/>
        <w:autoSpaceDE w:val="0"/>
        <w:widowControl/>
        <w:spacing w:line="170" w:lineRule="exact" w:before="390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3.1 Research design</w:t>
      </w:r>
    </w:p>
    <w:p>
      <w:pPr>
        <w:autoSpaceDN w:val="0"/>
        <w:autoSpaceDE w:val="0"/>
        <w:widowControl/>
        <w:spacing w:line="290" w:lineRule="exact" w:before="5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study employed a quantitative and exploratory research design, utilising EA and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PCA to investigate academic performance patterns among mechanical engineering stu­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dents. The primary objective was to identify key factors influencing student outcomes,</w:t>
      </w:r>
    </w:p>
    <w:p>
      <w:pPr>
        <w:autoSpaceDN w:val="0"/>
        <w:autoSpaceDE w:val="0"/>
        <w:widowControl/>
        <w:spacing w:line="248" w:lineRule="exact" w:before="0" w:after="0"/>
        <w:ind w:left="2112" w:right="2016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reduce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</w:t>
      </w:r>
      <w:hyperlink r:id="rId70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at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 dimensionality, enhance interpretability and inform curriculum develop­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ment [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,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7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autoSpaceDN w:val="0"/>
        <w:autoSpaceDE w:val="0"/>
        <w:widowControl/>
        <w:spacing w:line="168" w:lineRule="exact" w:before="402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3.2 Population and sampling</w:t>
      </w:r>
    </w:p>
    <w:p>
      <w:pPr>
        <w:autoSpaceDN w:val="0"/>
        <w:autoSpaceDE w:val="0"/>
        <w:widowControl/>
        <w:spacing w:line="292" w:lineRule="exact" w:before="5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target population consisted of 117 final-year mechanical engineering students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enrolled at Mbeya University of Science and Technology during the 2023/2024 academic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year. A purposive sampling approach was applied to select final-year students, as their</w:t>
      </w:r>
    </w:p>
    <w:p>
      <w:pPr>
        <w:autoSpaceDN w:val="0"/>
        <w:autoSpaceDE w:val="0"/>
        <w:widowControl/>
        <w:spacing w:line="182" w:lineRule="exact" w:before="4216" w:after="0"/>
        <w:ind w:left="0" w:right="0" w:firstLine="0"/>
        <w:jc w:val="center"/>
      </w:pPr>
      <w:r>
        <w:rPr>
          <w:spacing w:val="-10"/>
          <w:rFonts w:ascii="MyriadPro" w:hAnsi="MyriadPro" w:eastAsia="MyriadPro"/>
          <w:b/>
          <w:color w:val="000000"/>
          <w:sz w:val="16"/>
        </w:rPr>
        <w:t>Fig. 1</w:t>
      </w:r>
      <w:r>
        <w:rPr>
          <w:spacing w:val="-10"/>
          <w:rFonts w:ascii="MyriadPro" w:hAnsi="MyriadPro" w:eastAsia="MyriadPro"/>
          <w:color w:val="000000"/>
          <w:sz w:val="16"/>
        </w:rPr>
        <w:t xml:space="preserve"> A flow diagram on the application of Exploratory Analysis (EA) and Principal Component Analysis (PCA) in</w:t>
      </w:r>
    </w:p>
    <w:p>
      <w:pPr>
        <w:autoSpaceDN w:val="0"/>
        <w:autoSpaceDE w:val="0"/>
        <w:widowControl/>
        <w:spacing w:line="150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>the context of assessing student performance</w:t>
      </w:r>
    </w:p>
    <w:p>
      <w:pPr>
        <w:sectPr>
          <w:pgSz w:w="11906" w:h="15874"/>
          <w:pgMar w:top="240" w:right="240" w:bottom="114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5 of 18</w:t>
            </w:r>
          </w:p>
        </w:tc>
      </w:tr>
    </w:tbl>
    <w:p>
      <w:pPr>
        <w:autoSpaceDN w:val="0"/>
        <w:autoSpaceDE w:val="0"/>
        <w:widowControl/>
        <w:spacing w:line="188" w:lineRule="exact" w:before="77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accumulated academic records provided a comprehensive basis for multivariate analysis.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strategy was chosen to max</w:t>
      </w:r>
      <w:hyperlink r:id="rId73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i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mise variability in the performance measure and ensure</w:t>
      </w:r>
    </w:p>
    <w:p>
      <w:pPr>
        <w:autoSpaceDN w:val="0"/>
        <w:autoSpaceDE w:val="0"/>
        <w:widowControl/>
        <w:spacing w:line="174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 rich dataset suitable for PCA [</w:t>
      </w:r>
      <w:hyperlink r:id="rId73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6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autoSpaceDN w:val="0"/>
        <w:autoSpaceDE w:val="0"/>
        <w:widowControl/>
        <w:spacing w:line="126" w:lineRule="exact" w:before="40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3.3 Instruments</w:t>
      </w:r>
    </w:p>
    <w:p>
      <w:pPr>
        <w:autoSpaceDN w:val="0"/>
        <w:autoSpaceDE w:val="0"/>
        <w:widowControl/>
        <w:spacing w:line="292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primary research instrument was a structured academic dataset comprising final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examination results, sourced from the University’s Student Information Management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System (SIMS) under the institutional authorisation. Data cleaning, tr</w:t>
      </w:r>
      <w:hyperlink r:id="rId74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a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nsformation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statistical analysis were conducted using Jamovi and Microsoft Excel [</w:t>
      </w:r>
      <w:hyperlink r:id="rId74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7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Data prepara­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 included ensuring uniform scaling and handling missing values to meet the prereq­</w:t>
      </w:r>
    </w:p>
    <w:p>
      <w:pPr>
        <w:autoSpaceDN w:val="0"/>
        <w:autoSpaceDE w:val="0"/>
        <w:widowControl/>
        <w:spacing w:line="144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uisites for PCA.</w:t>
      </w:r>
    </w:p>
    <w:p>
      <w:pPr>
        <w:autoSpaceDN w:val="0"/>
        <w:autoSpaceDE w:val="0"/>
        <w:widowControl/>
        <w:spacing w:line="284" w:lineRule="exact" w:before="318" w:after="0"/>
        <w:ind w:left="2112" w:right="2016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 xml:space="preserve">3.4 Validity and reliability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To enhance data validity, varia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b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les were standardised, accounting for PCA’s sensitiv­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ity to the measurement scale [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]. Reliability analysis was conducted using Cronbach’s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alpha and McDonald’s omega to evaluate the internal consistency of the performance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indicators, ensuring that the items collectively measured a coherent construct of stu­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dent academic performance. Additionally, the dataset’s suitability for PCA </w:t>
      </w:r>
      <w:hyperlink r:id="rId76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wa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 validated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using the Kaiser-Meyer-Olkin (KMO) test and Bartlett’s Test of Sphericity [</w:t>
      </w:r>
      <w:hyperlink r:id="rId7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ensuring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sampling adequacy and verifying that the correlations among variables were sufficiently</w:t>
      </w:r>
    </w:p>
    <w:p>
      <w:pPr>
        <w:autoSpaceDN w:val="0"/>
        <w:autoSpaceDE w:val="0"/>
        <w:widowControl/>
        <w:spacing w:line="188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strong for PCA.</w:t>
      </w:r>
    </w:p>
    <w:p>
      <w:pPr>
        <w:autoSpaceDN w:val="0"/>
        <w:autoSpaceDE w:val="0"/>
        <w:widowControl/>
        <w:spacing w:line="134" w:lineRule="exact" w:before="38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3.5 Statistical treatment of data</w:t>
      </w:r>
    </w:p>
    <w:p>
      <w:pPr>
        <w:autoSpaceDN w:val="0"/>
        <w:autoSpaceDE w:val="0"/>
        <w:widowControl/>
        <w:spacing w:line="292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statistical analysis proceeded in two main phases. The first phase involved Explor­</w:t>
      </w:r>
    </w:p>
    <w:p>
      <w:pPr>
        <w:autoSpaceDN w:val="0"/>
        <w:autoSpaceDE w:val="0"/>
        <w:widowControl/>
        <w:spacing w:line="254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atory Analysis (EA), which was employed to investigate variable distributions, identify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outliers, and generate descriptive statistics, as well as correlation matrices and scatter­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plots, for initial pattern detection. This aligns with Tukey’s (1977) foundational view of</w:t>
      </w:r>
    </w:p>
    <w:p>
      <w:pPr>
        <w:autoSpaceDN w:val="0"/>
        <w:autoSpaceDE w:val="0"/>
        <w:widowControl/>
        <w:spacing w:line="272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EA as a strategy for revealing structure, detecting anomalies, and guiding subsequent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formal analyses without imposing rigid assumptions. Principal Component Analysis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(PCA) was subsequently applied, involving the computation of a covariance matrix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eigen decomposition to extract principal components. Retention of components was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based on explaining at least 85%–90% of the cumulative variance. Component loadings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were analysed to interpret variable con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t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ributions, while scree plots and biplots facili­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tated visualisation of the data structure [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autoSpaceDN w:val="0"/>
        <w:autoSpaceDE w:val="0"/>
        <w:widowControl/>
        <w:spacing w:line="134" w:lineRule="exact" w:before="402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3.6 Ethical considerations</w:t>
      </w:r>
    </w:p>
    <w:p>
      <w:pPr>
        <w:autoSpaceDN w:val="0"/>
        <w:autoSpaceDE w:val="0"/>
        <w:widowControl/>
        <w:spacing w:line="284" w:lineRule="exact" w:before="10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study was conducted in strict adherence to established ethical principles to safe­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guard the rights, privacy, and confidentiality of all participants. Research clearance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was obtained from Mbeya University of Science and Technology, confirming compli­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ance with the University’s ethical guidelines and institutional research requirements.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 addition, authorisation was sought from relevant government authorities to ensure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alignment with national research regulations and lawful data collection procedures. To</w:t>
      </w:r>
    </w:p>
    <w:p>
      <w:pPr>
        <w:autoSpaceDN w:val="0"/>
        <w:autoSpaceDE w:val="0"/>
        <w:widowControl/>
        <w:spacing w:line="284" w:lineRule="exact" w:before="56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protect participants’ rights, anonymity and confidentiality were rigorously maintained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throughout the study. No personally identifiable information was collected or disclosed,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all datasets were fully anonymised to prevent the identification of individual stu­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dents. Confidentiality was further ensured through secure data storage and restricted</w:t>
      </w:r>
    </w:p>
    <w:p>
      <w:pPr>
        <w:sectPr>
          <w:pgSz w:w="11906" w:h="15874"/>
          <w:pgMar w:top="240" w:right="240" w:bottom="12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7844790</wp:posOffset>
            </wp:positionV>
            <wp:extent cx="151384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3007360</wp:posOffset>
            </wp:positionH>
            <wp:positionV relativeFrom="page">
              <wp:posOffset>7844790</wp:posOffset>
            </wp:positionV>
            <wp:extent cx="1233169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233169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4278630</wp:posOffset>
            </wp:positionH>
            <wp:positionV relativeFrom="page">
              <wp:posOffset>7844790</wp:posOffset>
            </wp:positionV>
            <wp:extent cx="151384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5792470</wp:posOffset>
            </wp:positionH>
            <wp:positionV relativeFrom="page">
              <wp:posOffset>7696200</wp:posOffset>
            </wp:positionV>
            <wp:extent cx="2730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5792470</wp:posOffset>
            </wp:positionH>
            <wp:positionV relativeFrom="page">
              <wp:posOffset>7844790</wp:posOffset>
            </wp:positionV>
            <wp:extent cx="2730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9326880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6 of 18</w:t>
            </w:r>
          </w:p>
        </w:tc>
      </w:tr>
    </w:tbl>
    <w:p>
      <w:pPr>
        <w:autoSpaceDN w:val="0"/>
        <w:autoSpaceDE w:val="0"/>
        <w:widowControl/>
        <w:spacing w:line="282" w:lineRule="exact" w:before="682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access limited to authorised personnel only. Data were handled exclusively for research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institutional development purposes. Overall, the study complied with recognised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ethical standards for research</w:t>
      </w:r>
      <w:hyperlink r:id="rId77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 xml:space="preserve"> in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volving human participants. The ethical approach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adopted aligns with Resnik’s [</w:t>
      </w:r>
      <w:hyperlink r:id="rId77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 framework, which emphasises informed consent,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confidentiality, and responsible data stewardship as fundamental principles in ethical</w:t>
      </w:r>
    </w:p>
    <w:p>
      <w:pPr>
        <w:autoSpaceDN w:val="0"/>
        <w:autoSpaceDE w:val="0"/>
        <w:widowControl/>
        <w:spacing w:line="184" w:lineRule="exact" w:before="4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research practice.</w:t>
      </w:r>
    </w:p>
    <w:p>
      <w:pPr>
        <w:autoSpaceDN w:val="0"/>
        <w:autoSpaceDE w:val="0"/>
        <w:widowControl/>
        <w:spacing w:line="150" w:lineRule="exact" w:before="374" w:after="0"/>
        <w:ind w:left="2112" w:right="0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4 Results and discussion</w:t>
      </w:r>
    </w:p>
    <w:p>
      <w:pPr>
        <w:autoSpaceDN w:val="0"/>
        <w:autoSpaceDE w:val="0"/>
        <w:widowControl/>
        <w:spacing w:line="290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section presents the findings and discussion, utilising EA and PCA, in alignment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with the study’s objectives. EA examined data distributions, variability and correlations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to identify performance patterns and areas needing intervention. PCA reduced data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dimensionality, revealing key academic constructs, such as technical skills and project-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based competencies that significantly influenced outcomes. EA and PCA provided a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comprehensive view of students’ performance, uncovering hidden trends and interde­</w:t>
      </w:r>
    </w:p>
    <w:p>
      <w:pPr>
        <w:autoSpaceDN w:val="0"/>
        <w:autoSpaceDE w:val="0"/>
        <w:widowControl/>
        <w:spacing w:line="284" w:lineRule="exact" w:before="56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pendencies across courses. This dual-method approach supports data-driven insights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for curriculum refinement, ensuring that mechanical engineering education aligns with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Tanzania’s industrialisation goals. This approach aligns with findings from Tanzanian</w:t>
      </w:r>
    </w:p>
    <w:p>
      <w:pPr>
        <w:autoSpaceDN w:val="0"/>
        <w:autoSpaceDE w:val="0"/>
        <w:widowControl/>
        <w:spacing w:line="272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studies, which emphasise the imp</w:t>
      </w:r>
      <w:hyperlink r:id="rId78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or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tance of aligning technical education curricula with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current industrial skill demands [</w:t>
      </w:r>
      <w:hyperlink r:id="rId7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27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Similar dual-method strategies, such as integrat­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ing both quantitative course performance data and qualitative employer feedback, have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been shown to enhance curriculum relevance in engineering prog</w:t>
      </w:r>
      <w:hyperlink r:id="rId79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ra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ms, thereby bridging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gaps between academic content and workplace expectations [</w:t>
      </w:r>
      <w:hyperlink r:id="rId7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autoSpaceDN w:val="0"/>
        <w:autoSpaceDE w:val="0"/>
        <w:widowControl/>
        <w:spacing w:line="174" w:lineRule="exact" w:before="38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 Dataset suitable for principal component analysis: KMO and Bartlett’s tests</w:t>
      </w:r>
    </w:p>
    <w:p>
      <w:pPr>
        <w:autoSpaceDN w:val="0"/>
        <w:autoSpaceDE w:val="0"/>
        <w:widowControl/>
        <w:spacing w:line="290" w:lineRule="exact" w:before="5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Kaiser-Meyer-Olkin (KMO) Measure of Sampling Adequacy was used to assess</w:t>
      </w:r>
    </w:p>
    <w:p>
      <w:pPr>
        <w:autoSpaceDN w:val="0"/>
        <w:autoSpaceDE w:val="0"/>
        <w:widowControl/>
        <w:spacing w:line="27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suitability of the dataset for Principal Component Analysis (PCA), evaluating the </w:t>
      </w:r>
      <w:r>
        <w:br/>
      </w:r>
      <w:hyperlink r:id="rId80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p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roportion of variance among variables that might represent common variance. Table </w:t>
      </w:r>
      <w:r>
        <w:br/>
      </w:r>
      <w:hyperlink r:id="rId8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shows that the overall KMO value was 0.68, which falls within the acceptable range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(0.60–0.70), indicating a mediocre yet adequate level of sampling adequacy for factor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analysis. However, individual Measure of Sampling Adequacy (MSA) values revealed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variation across variables, with some, such as ME 8401 (0.86), ME 8409 (0.89) and ME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8415 (0.88), showing strong adequacy, suggesting these items share substantial com­</w:t>
      </w:r>
    </w:p>
    <w:p>
      <w:pPr>
        <w:autoSpaceDN w:val="0"/>
        <w:autoSpaceDE w:val="0"/>
        <w:widowControl/>
        <w:spacing w:line="27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mon variance with others and are well-suited for inclusion in PCA. In contrast, vari­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ables like ME 8407 (0.26) and ME 8417 (0.20) fell below the critical threshold of 0.50,</w:t>
      </w:r>
    </w:p>
    <w:p>
      <w:pPr>
        <w:autoSpaceDN w:val="0"/>
        <w:autoSpaceDE w:val="0"/>
        <w:widowControl/>
        <w:spacing w:line="290" w:lineRule="exact" w:before="6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indicating weak shared variance and potentially a poor fit within the factor structure.</w:t>
      </w:r>
    </w:p>
    <w:p>
      <w:pPr>
        <w:autoSpaceDN w:val="0"/>
        <w:autoSpaceDE w:val="0"/>
        <w:widowControl/>
        <w:spacing w:line="168" w:lineRule="exact" w:before="388" w:after="42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  <w:u w:val="single"/>
        </w:rPr>
        <w:t>Table 1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 xml:space="preserve"> Kaiser-Meyer-Olkin (KM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O) measure of sampling ade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quacy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660" w:type="dxa"/>
        <w:gridCol w:w="1940" w:type="dxa"/>
        <w:gridCol w:w="2440" w:type="dxa"/>
        <w:gridCol w:w="2220" w:type="dxa"/>
      </w:tblGrid>
      <w:tr>
        <w:trPr>
          <w:trHeight w:hRule="exact" w:val="230"/>
        </w:trPr>
        <w:tc>
          <w:tcPr>
            <w:tcW w:type="dxa" w:w="2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2" w:after="0"/>
              <w:ind w:left="0" w:right="786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Description</w:t>
            </w:r>
          </w:p>
        </w:tc>
        <w:tc>
          <w:tcPr>
            <w:tcW w:type="dxa" w:w="1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MSA</w:t>
            </w:r>
          </w:p>
        </w:tc>
        <w:tc>
          <w:tcPr>
            <w:tcW w:type="dxa" w:w="24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Description</w:t>
            </w:r>
          </w:p>
        </w:tc>
        <w:tc>
          <w:tcPr>
            <w:tcW w:type="dxa" w:w="2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42" w:after="0"/>
              <w:ind w:left="0" w:right="1100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MSA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480" w:type="dxa"/>
        <w:gridCol w:w="2100" w:type="dxa"/>
        <w:gridCol w:w="2340" w:type="dxa"/>
        <w:gridCol w:w="2320" w:type="dxa"/>
      </w:tblGrid>
      <w:tr>
        <w:trPr>
          <w:trHeight w:hRule="exact" w:val="236"/>
        </w:trPr>
        <w:tc>
          <w:tcPr>
            <w:tcW w:type="dxa" w:w="24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60" w:after="0"/>
              <w:ind w:left="0" w:right="96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Overall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8" w:after="0"/>
              <w:ind w:left="0" w:right="86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0.68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6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8408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8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380" w:type="dxa"/>
        <w:gridCol w:w="2200" w:type="dxa"/>
        <w:gridCol w:w="2340" w:type="dxa"/>
        <w:gridCol w:w="2320" w:type="dxa"/>
      </w:tblGrid>
      <w:tr>
        <w:trPr>
          <w:trHeight w:hRule="exact" w:val="230"/>
        </w:trPr>
        <w:tc>
          <w:tcPr>
            <w:tcW w:type="dxa" w:w="2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GPA</w:t>
            </w:r>
          </w:p>
        </w:tc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86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0.62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8409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32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60" w:after="0"/>
              <w:ind w:left="0" w:right="93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CS 8406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0.59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8410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30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8401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0.86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8411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28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8402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8412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30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8403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0.61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8413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30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8404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0.56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8414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320" w:type="dxa"/>
      </w:tblGrid>
      <w:tr>
        <w:trPr>
          <w:trHeight w:hRule="exact" w:val="228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8405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0.49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8415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13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0.88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280" w:type="dxa"/>
      </w:tblGrid>
      <w:tr>
        <w:trPr>
          <w:trHeight w:hRule="exact" w:val="230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8406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8416</w:t>
            </w:r>
          </w:p>
        </w:tc>
        <w:tc>
          <w:tcPr>
            <w:tcW w:type="dxa" w:w="2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7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20" w:type="dxa"/>
        <w:gridCol w:w="2060" w:type="dxa"/>
        <w:gridCol w:w="2340" w:type="dxa"/>
        <w:gridCol w:w="2280" w:type="dxa"/>
      </w:tblGrid>
      <w:tr>
        <w:trPr>
          <w:trHeight w:hRule="exact" w:val="178"/>
        </w:trPr>
        <w:tc>
          <w:tcPr>
            <w:tcW w:type="dxa" w:w="2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8407</w:t>
            </w:r>
          </w:p>
        </w:tc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0.26</w:t>
            </w:r>
          </w:p>
        </w:tc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8417</w:t>
            </w:r>
          </w:p>
        </w:tc>
        <w:tc>
          <w:tcPr>
            <w:tcW w:type="dxa" w:w="2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7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0.2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5874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1370330</wp:posOffset>
            </wp:positionV>
            <wp:extent cx="216408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1221740</wp:posOffset>
            </wp:positionV>
            <wp:extent cx="2047239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047239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3657600</wp:posOffset>
            </wp:positionH>
            <wp:positionV relativeFrom="page">
              <wp:posOffset>1370330</wp:posOffset>
            </wp:positionV>
            <wp:extent cx="2047239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047239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5704840</wp:posOffset>
            </wp:positionH>
            <wp:positionV relativeFrom="page">
              <wp:posOffset>1221740</wp:posOffset>
            </wp:positionV>
            <wp:extent cx="36068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5704840</wp:posOffset>
            </wp:positionH>
            <wp:positionV relativeFrom="page">
              <wp:posOffset>1370330</wp:posOffset>
            </wp:positionV>
            <wp:extent cx="36068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1518920</wp:posOffset>
            </wp:positionV>
            <wp:extent cx="457200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1221740</wp:posOffset>
            </wp:positionV>
            <wp:extent cx="216408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2260600</wp:posOffset>
            </wp:positionV>
            <wp:extent cx="457200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5077460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4552950</wp:posOffset>
            </wp:positionH>
            <wp:positionV relativeFrom="page">
              <wp:posOffset>1964689</wp:posOffset>
            </wp:positionV>
            <wp:extent cx="151257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4552950</wp:posOffset>
            </wp:positionH>
            <wp:positionV relativeFrom="page">
              <wp:posOffset>2112010</wp:posOffset>
            </wp:positionV>
            <wp:extent cx="151257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1964689</wp:posOffset>
            </wp:positionV>
            <wp:extent cx="305943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05943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2112010</wp:posOffset>
            </wp:positionV>
            <wp:extent cx="298323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983230" cy="50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7 of 18</w:t>
            </w:r>
          </w:p>
        </w:tc>
      </w:tr>
    </w:tbl>
    <w:p>
      <w:pPr>
        <w:autoSpaceDN w:val="0"/>
        <w:autoSpaceDE w:val="0"/>
        <w:widowControl/>
        <w:spacing w:line="170" w:lineRule="exact" w:before="834" w:after="28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</w:rPr>
        <w:t>Table 2</w:t>
      </w:r>
      <w:r>
        <w:rPr>
          <w:spacing w:val="-10"/>
          <w:rFonts w:ascii="MyriadPro" w:hAnsi="MyriadPro" w:eastAsia="MyriadPro"/>
          <w:color w:val="000000"/>
          <w:sz w:val="18"/>
        </w:rPr>
        <w:t xml:space="preserve"> Bartlett’s test of sphericity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840" w:type="dxa"/>
        <w:gridCol w:w="3320" w:type="dxa"/>
        <w:gridCol w:w="2920" w:type="dxa"/>
      </w:tblGrid>
      <w:tr>
        <w:trPr>
          <w:trHeight w:hRule="exact" w:val="246"/>
        </w:trPr>
        <w:tc>
          <w:tcPr>
            <w:tcW w:type="dxa" w:w="2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30" w:after="0"/>
              <w:ind w:left="0" w:right="1636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χ²</w:t>
            </w:r>
          </w:p>
        </w:tc>
        <w:tc>
          <w:tcPr>
            <w:tcW w:type="dxa" w:w="3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50" w:after="0"/>
              <w:ind w:left="0" w:right="1536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df</w:t>
            </w:r>
          </w:p>
        </w:tc>
        <w:tc>
          <w:tcPr>
            <w:tcW w:type="dxa" w:w="29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86" w:after="0"/>
              <w:ind w:left="0" w:right="1288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i/>
                <w:color w:val="000000"/>
                <w:sz w:val="16"/>
              </w:rPr>
              <w:t>p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980" w:type="dxa"/>
        <w:gridCol w:w="3220" w:type="dxa"/>
        <w:gridCol w:w="3060" w:type="dxa"/>
      </w:tblGrid>
      <w:tr>
        <w:trPr>
          <w:trHeight w:hRule="exact" w:val="218"/>
        </w:trPr>
        <w:tc>
          <w:tcPr>
            <w:tcW w:type="dxa" w:w="2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50" w:after="0"/>
              <w:ind w:left="0" w:right="14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843.58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171</w:t>
            </w:r>
          </w:p>
        </w:tc>
        <w:tc>
          <w:tcPr>
            <w:tcW w:type="dxa" w:w="3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50" w:after="0"/>
              <w:ind w:left="0" w:right="11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&lt;0.001</w:t>
            </w:r>
          </w:p>
        </w:tc>
      </w:tr>
    </w:tbl>
    <w:p>
      <w:pPr>
        <w:autoSpaceDN w:val="0"/>
        <w:autoSpaceDE w:val="0"/>
        <w:widowControl/>
        <w:spacing w:line="168" w:lineRule="exact" w:before="51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</w:rPr>
        <w:t>Table 3</w:t>
      </w:r>
      <w:r>
        <w:rPr>
          <w:spacing w:val="-10"/>
          <w:rFonts w:ascii="MyriadPro" w:hAnsi="MyriadPro" w:eastAsia="MyriadPro"/>
          <w:color w:val="000000"/>
          <w:sz w:val="18"/>
        </w:rPr>
        <w:t xml:space="preserve"> Item reliability statistics</w:t>
      </w:r>
    </w:p>
    <w:p>
      <w:pPr>
        <w:autoSpaceDN w:val="0"/>
        <w:autoSpaceDE w:val="0"/>
        <w:widowControl/>
        <w:spacing w:line="148" w:lineRule="exact" w:before="78" w:after="44"/>
        <w:ind w:left="0" w:right="3420" w:firstLine="0"/>
        <w:jc w:val="right"/>
      </w:pPr>
      <w:r>
        <w:rPr>
          <w:spacing w:val="-10"/>
          <w:rFonts w:ascii="MyriadPro" w:hAnsi="MyriadPro" w:eastAsia="MyriadPro"/>
          <w:b/>
          <w:color w:val="000000"/>
          <w:sz w:val="16"/>
        </w:rPr>
        <w:t>If item dropped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540" w:type="dxa"/>
      </w:tblPr>
      <w:tblGrid>
        <w:gridCol w:w="2340" w:type="dxa"/>
        <w:gridCol w:w="880" w:type="dxa"/>
        <w:gridCol w:w="1940" w:type="dxa"/>
        <w:gridCol w:w="1320" w:type="dxa"/>
        <w:gridCol w:w="2280" w:type="dxa"/>
      </w:tblGrid>
      <w:tr>
        <w:trPr>
          <w:trHeight w:hRule="exact" w:val="220"/>
        </w:trPr>
        <w:tc>
          <w:tcPr>
            <w:tcW w:type="dxa" w:w="2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50" w:after="0"/>
              <w:ind w:left="0" w:right="388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Mean</w:t>
            </w:r>
          </w:p>
        </w:tc>
        <w:tc>
          <w:tcPr>
            <w:tcW w:type="dxa" w:w="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48" w:after="0"/>
              <w:ind w:left="0" w:right="284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SD</w:t>
            </w:r>
          </w:p>
        </w:tc>
        <w:tc>
          <w:tcPr>
            <w:tcW w:type="dxa" w:w="1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4" w:after="0"/>
              <w:ind w:left="31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Item-rest correlation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4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Cronbach’s α</w:t>
            </w:r>
          </w:p>
        </w:tc>
        <w:tc>
          <w:tcPr>
            <w:tcW w:type="dxa" w:w="2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4" w:after="0"/>
              <w:ind w:left="2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McDonald’s ω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680" w:type="dxa"/>
        <w:gridCol w:w="1100" w:type="dxa"/>
        <w:gridCol w:w="98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35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GPA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3.59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0.31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0.96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20" w:type="dxa"/>
        <w:gridCol w:w="1000" w:type="dxa"/>
        <w:gridCol w:w="980" w:type="dxa"/>
        <w:gridCol w:w="1240" w:type="dxa"/>
        <w:gridCol w:w="1640" w:type="dxa"/>
        <w:gridCol w:w="2240" w:type="dxa"/>
      </w:tblGrid>
      <w:tr>
        <w:trPr>
          <w:trHeight w:hRule="exact" w:val="232"/>
        </w:trPr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60" w:after="0"/>
              <w:ind w:left="0" w:right="23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CS 8406</w:t>
            </w:r>
          </w:p>
        </w:tc>
        <w:tc>
          <w:tcPr>
            <w:tcW w:type="dxa" w:w="10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24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53.01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21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12.91</w:t>
            </w:r>
          </w:p>
        </w:tc>
        <w:tc>
          <w:tcPr>
            <w:tcW w:type="dxa" w:w="1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2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</w:t>
            </w:r>
          </w:p>
        </w:tc>
        <w:tc>
          <w:tcPr>
            <w:tcW w:type="dxa" w:w="1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28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8401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67.81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6.41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0.66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000" w:type="dxa"/>
        <w:gridCol w:w="7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4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8402</w:t>
            </w:r>
          </w:p>
        </w:tc>
        <w:tc>
          <w:tcPr>
            <w:tcW w:type="dxa" w:w="10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2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65.03</w:t>
            </w:r>
          </w:p>
        </w:tc>
        <w:tc>
          <w:tcPr>
            <w:tcW w:type="dxa" w:w="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8.85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0.51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40" w:type="dxa"/>
        <w:gridCol w:w="98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8403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63.5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9.24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0.39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8404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62.51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7.06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0.33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8405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58.48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7.06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0.33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8406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58.11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5.62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0.49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40" w:type="dxa"/>
        <w:gridCol w:w="980" w:type="dxa"/>
        <w:gridCol w:w="1320" w:type="dxa"/>
        <w:gridCol w:w="1560" w:type="dxa"/>
        <w:gridCol w:w="228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8407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72.4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6.06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0.12</w:t>
            </w:r>
          </w:p>
        </w:tc>
        <w:tc>
          <w:tcPr>
            <w:tcW w:type="dxa" w:w="1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6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</w:t>
            </w:r>
          </w:p>
        </w:tc>
        <w:tc>
          <w:tcPr>
            <w:tcW w:type="dxa" w:w="2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44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40" w:type="dxa"/>
        <w:gridCol w:w="158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8408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77.82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7.72</w:t>
            </w:r>
          </w:p>
        </w:tc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-0.21</w:t>
            </w:r>
          </w:p>
        </w:tc>
        <w:tc>
          <w:tcPr>
            <w:tcW w:type="dxa" w:w="1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0.82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40" w:type="dxa"/>
        <w:gridCol w:w="98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8409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66.9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6.85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0.52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8410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70.56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6.15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0.39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40" w:type="dxa"/>
        <w:gridCol w:w="980" w:type="dxa"/>
        <w:gridCol w:w="1320" w:type="dxa"/>
        <w:gridCol w:w="1600" w:type="dxa"/>
        <w:gridCol w:w="2240" w:type="dxa"/>
      </w:tblGrid>
      <w:tr>
        <w:trPr>
          <w:trHeight w:hRule="exact" w:val="228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8411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65.6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8.77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0.49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280" w:type="dxa"/>
        <w:gridCol w:w="164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8412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53.78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3.64</w:t>
            </w:r>
          </w:p>
        </w:tc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</w:t>
            </w:r>
          </w:p>
        </w:tc>
        <w:tc>
          <w:tcPr>
            <w:tcW w:type="dxa" w:w="1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8413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63.63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6.97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0.47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28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8414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68.93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6.83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0.48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8415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58.73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7.01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0.57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8416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61.82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6.49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0.39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980" w:type="dxa"/>
        <w:gridCol w:w="940" w:type="dxa"/>
        <w:gridCol w:w="1320" w:type="dxa"/>
        <w:gridCol w:w="1600" w:type="dxa"/>
        <w:gridCol w:w="2240" w:type="dxa"/>
      </w:tblGrid>
      <w:tr>
        <w:trPr>
          <w:trHeight w:hRule="exact" w:val="230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8417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2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64.16</w:t>
            </w:r>
          </w:p>
        </w:tc>
        <w:tc>
          <w:tcPr>
            <w:tcW w:type="dxa" w:w="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6.39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27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0.15</w:t>
            </w:r>
          </w:p>
        </w:tc>
        <w:tc>
          <w:tcPr>
            <w:tcW w:type="dxa" w:w="1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5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53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0.85</w:t>
            </w:r>
          </w:p>
        </w:tc>
      </w:tr>
    </w:tbl>
    <w:p>
      <w:pPr>
        <w:autoSpaceDN w:val="0"/>
        <w:autoSpaceDE w:val="0"/>
        <w:widowControl/>
        <w:spacing w:line="282" w:lineRule="exact" w:before="202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These low-MSA variables may introduce noise or distortions in the PCA and should be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reviewed for possible exclusion or reconsideration in model refinement [</w:t>
      </w:r>
      <w:hyperlink r:id="rId74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7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This mix</w:t>
      </w:r>
    </w:p>
    <w:p>
      <w:pPr>
        <w:autoSpaceDN w:val="0"/>
        <w:autoSpaceDE w:val="0"/>
        <w:widowControl/>
        <w:spacing w:line="188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of adequate and poor MSA values highlights the need for careful variable selection to</w:t>
      </w:r>
    </w:p>
    <w:p>
      <w:pPr>
        <w:autoSpaceDN w:val="0"/>
        <w:autoSpaceDE w:val="0"/>
        <w:widowControl/>
        <w:spacing w:line="186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enhance the interpretability and validity of PCA results.</w:t>
      </w:r>
    </w:p>
    <w:p>
      <w:pPr>
        <w:autoSpaceDN w:val="0"/>
        <w:autoSpaceDE w:val="0"/>
        <w:widowControl/>
        <w:spacing w:line="188" w:lineRule="exact" w:before="96" w:after="0"/>
        <w:ind w:left="227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Bartlett’s Test of Sphericity was conducted to evaluate whether the correlation matrix</w:t>
      </w:r>
    </w:p>
    <w:p>
      <w:pPr>
        <w:autoSpaceDN w:val="0"/>
        <w:autoSpaceDE w:val="0"/>
        <w:widowControl/>
        <w:spacing w:line="290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significantly deviates from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 identity matrix, thus determining the dataset’s suitability</w:t>
      </w:r>
    </w:p>
    <w:p>
      <w:pPr>
        <w:autoSpaceDN w:val="0"/>
        <w:autoSpaceDE w:val="0"/>
        <w:widowControl/>
        <w:spacing w:line="200" w:lineRule="exact" w:before="2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for factor analysis. 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87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shows that the test yielded a chi-square value of χ² (171) =</w:t>
      </w:r>
    </w:p>
    <w:p>
      <w:pPr>
        <w:autoSpaceDN w:val="0"/>
        <w:autoSpaceDE w:val="0"/>
        <w:widowControl/>
        <w:spacing w:line="284" w:lineRule="exact" w:before="54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843.58, with a p-value of less than 0.001, indicating strong statistical significance. This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result confirms the presence of sufficient intercorrelations among the variables, validat­</w:t>
      </w:r>
    </w:p>
    <w:p>
      <w:pPr>
        <w:autoSpaceDN w:val="0"/>
        <w:autoSpaceDE w:val="0"/>
        <w:widowControl/>
        <w:spacing w:line="190" w:lineRule="exact" w:before="3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the use of Principal Component Analysis (PCA) for dimensionality reduction and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pattern recognition [</w:t>
      </w:r>
      <w:hyperlink r:id="rId7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The test outcome aligns with established guidelines, which rec­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ommend proceeding with PCA when Bartlett’s test is significant, ensuring that the data</w:t>
      </w:r>
    </w:p>
    <w:p>
      <w:pPr>
        <w:autoSpaceDN w:val="0"/>
        <w:autoSpaceDE w:val="0"/>
        <w:widowControl/>
        <w:spacing w:line="188" w:lineRule="exact" w:before="4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structure is appropriate for extracting meaningful components.</w:t>
      </w:r>
    </w:p>
    <w:p>
      <w:pPr>
        <w:autoSpaceDN w:val="0"/>
        <w:autoSpaceDE w:val="0"/>
        <w:widowControl/>
        <w:spacing w:line="174" w:lineRule="exact" w:before="384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4.2 It</w:t>
      </w:r>
      <w:hyperlink r:id="rId88" w:history="1">
        <w:r>
          <w:rPr>
            <w:rStyle w:val="Hyperlink"/>
            <w:rFonts w:ascii="MyriadPro" w:hAnsi="MyriadPro" w:eastAsia="MyriadPro" w:cs="MyriadPro"/>
            <w:sz w:val="18.399999618530273"/>
            <w:b/>
            <w:color w:val="000000"/>
            <w:w w:val="102.22222010294597"/>
            <w:spacing w:val="-10"/>
          </w:rPr>
          <w:t>e</w:t>
        </w:r>
      </w:hyperlink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m reliability analysis of academic performance indicators</w:t>
      </w:r>
    </w:p>
    <w:p>
      <w:pPr>
        <w:autoSpaceDN w:val="0"/>
        <w:autoSpaceDE w:val="0"/>
        <w:widowControl/>
        <w:spacing w:line="186" w:lineRule="exact" w:before="10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8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presents the item reliability analysis, which demonstrates strong internal consis­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tency among the performance indicators, with Cronbach’s alpha of 0.79 and McDonald’s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omega approximating 0.84</w:t>
      </w:r>
      <w:hyperlink r:id="rId89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–0.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8</w:t>
      </w:r>
      <w:hyperlink r:id="rId90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5,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indicating that the composite scale cohesively mea­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sures student performance [</w:t>
      </w:r>
      <w:hyperlink r:id="rId8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17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,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9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26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GPA emerged as the most internally consistent item,</w:t>
      </w:r>
    </w:p>
    <w:p>
      <w:pPr>
        <w:autoSpaceDN w:val="0"/>
        <w:autoSpaceDE w:val="0"/>
        <w:widowControl/>
        <w:spacing w:line="290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with a remarkably high item–rest correlation of 0.96, confirming its value as a robust</w:t>
      </w:r>
    </w:p>
    <w:p>
      <w:pPr>
        <w:autoSpaceDN w:val="0"/>
        <w:autoSpaceDE w:val="0"/>
        <w:widowControl/>
        <w:spacing w:line="188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summary measure of performance. Courses such as ME 8401 and ME 8415 also made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notable contributions, with item–rest correlations of 0.66 and 0.57, respectively, indicat­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strong alignment with the underlying competency construct. In contrast, ME 8407</w:t>
      </w:r>
    </w:p>
    <w:p>
      <w:pPr>
        <w:sectPr>
          <w:pgSz w:w="11906" w:h="15874"/>
          <w:pgMar w:top="240" w:right="240" w:bottom="12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1619250</wp:posOffset>
            </wp:positionH>
            <wp:positionV relativeFrom="page">
              <wp:posOffset>6375400</wp:posOffset>
            </wp:positionV>
            <wp:extent cx="4324350" cy="27305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7305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8 of 18</w:t>
            </w:r>
          </w:p>
        </w:tc>
      </w:tr>
    </w:tbl>
    <w:p>
      <w:pPr>
        <w:autoSpaceDN w:val="0"/>
        <w:autoSpaceDE w:val="0"/>
        <w:widowControl/>
        <w:spacing w:line="190" w:lineRule="exact" w:before="77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ME 8408 exhibited weak or negative item–rest correlations (0.12 and –0.21), which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may reflect misalignment with the composite construct or inconsistent assessment prac­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tices. Indeed, the slight increase in Cronbach’s alpha upon removal of ME 8408 further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identifies it as a potential detractor in scale reliability [</w:t>
      </w:r>
      <w:hyperlink r:id="rId10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 Additionally, items like ME</w:t>
      </w:r>
    </w:p>
    <w:p>
      <w:pPr>
        <w:autoSpaceDN w:val="0"/>
        <w:autoSpaceDE w:val="0"/>
        <w:widowControl/>
        <w:spacing w:line="290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8417 and ME 8412, which have low item–rest correlations and a minimal effect on alpha</w:t>
      </w:r>
    </w:p>
    <w:p>
      <w:pPr>
        <w:autoSpaceDN w:val="0"/>
        <w:autoSpaceDE w:val="0"/>
        <w:widowControl/>
        <w:spacing w:line="292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if removed, offer limited discriminative utility and may warrant further review of their</w:t>
      </w:r>
    </w:p>
    <w:p>
      <w:pPr>
        <w:autoSpaceDN w:val="0"/>
        <w:autoSpaceDE w:val="0"/>
        <w:widowControl/>
        <w:spacing w:line="290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inclusion in the curriculum or assessment. Overall, these findings un</w:t>
      </w:r>
      <w:hyperlink r:id="rId102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de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rscore the impor­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tance of reliability analysis—not only to validate measurement tools [</w:t>
      </w:r>
      <w:hyperlink r:id="rId102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18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but also to pin­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point specific course elements that may benefit from targeted pedagogical or evaluative</w:t>
      </w:r>
    </w:p>
    <w:p>
      <w:pPr>
        <w:autoSpaceDN w:val="0"/>
        <w:autoSpaceDE w:val="0"/>
        <w:widowControl/>
        <w:spacing w:line="142" w:lineRule="exact" w:before="4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enhancements.</w:t>
      </w:r>
    </w:p>
    <w:p>
      <w:pPr>
        <w:autoSpaceDN w:val="0"/>
        <w:autoSpaceDE w:val="0"/>
        <w:widowControl/>
        <w:spacing w:line="174" w:lineRule="exact" w:before="430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4.3 Exploratory analysis of performance patterns</w:t>
      </w:r>
    </w:p>
    <w:p>
      <w:pPr>
        <w:autoSpaceDN w:val="0"/>
        <w:autoSpaceDE w:val="0"/>
        <w:widowControl/>
        <w:spacing w:line="188" w:lineRule="exact" w:before="10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Understanding how students perform across various academic indicators is essen­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tial for identifying strengths, weaknesses, and hidden trends that may influence over­</w:t>
      </w:r>
    </w:p>
    <w:p>
      <w:pPr>
        <w:autoSpaceDN w:val="0"/>
        <w:autoSpaceDE w:val="0"/>
        <w:widowControl/>
        <w:spacing w:line="290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all educational outcomes. This section presents an exploratory analysis of mechanical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engineering students’ performance, utilising descriptive statistics, correlation matrices,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visual tools, including scatterplots. The goal is to generate preliminary insights that</w:t>
      </w:r>
    </w:p>
    <w:p>
      <w:pPr>
        <w:autoSpaceDN w:val="0"/>
        <w:autoSpaceDE w:val="0"/>
        <w:widowControl/>
        <w:spacing w:line="292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inform further statistical modelling and guide curriculum development efforts in align­</w:t>
      </w:r>
    </w:p>
    <w:p>
      <w:pPr>
        <w:autoSpaceDN w:val="0"/>
        <w:autoSpaceDE w:val="0"/>
        <w:widowControl/>
        <w:spacing w:line="188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ment with Tanzania’s industrial transformation agenda.</w:t>
      </w:r>
    </w:p>
    <w:p>
      <w:pPr>
        <w:autoSpaceDN w:val="0"/>
        <w:autoSpaceDE w:val="0"/>
        <w:widowControl/>
        <w:spacing w:line="134" w:lineRule="exact" w:before="38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4.4 Distributions and central tendencies of students’academic scores</w:t>
      </w:r>
    </w:p>
    <w:p>
      <w:pPr>
        <w:autoSpaceDN w:val="0"/>
        <w:autoSpaceDE w:val="0"/>
        <w:widowControl/>
        <w:spacing w:line="186" w:lineRule="exact" w:before="14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To establish a foundational understanding of student performance, this section pres­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ents descriptive statistics and normality assessments across core mechanical engineer­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courses and overall GPA. These summary metrics not only offer insights into central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tendencies and variability but also help identify data distributions suitable for multivari­</w:t>
      </w:r>
    </w:p>
    <w:p>
      <w:pPr>
        <w:autoSpaceDN w:val="0"/>
        <w:autoSpaceDE w:val="0"/>
        <w:widowControl/>
        <w:spacing w:line="184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ate techn</w:t>
      </w:r>
      <w:hyperlink r:id="rId103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i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ques.</w:t>
      </w:r>
    </w:p>
    <w:p>
      <w:pPr>
        <w:autoSpaceDN w:val="0"/>
        <w:autoSpaceDE w:val="0"/>
        <w:widowControl/>
        <w:spacing w:line="188" w:lineRule="exact" w:before="98" w:after="0"/>
        <w:ind w:left="227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Figure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03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provides graphical descriptive statistics and normality tests for students’ per­</w:t>
      </w:r>
    </w:p>
    <w:p>
      <w:pPr>
        <w:autoSpaceDN w:val="0"/>
        <w:autoSpaceDE w:val="0"/>
        <w:widowControl/>
        <w:spacing w:line="142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formance across various courses and the overall GPA.</w:t>
      </w:r>
    </w:p>
    <w:p>
      <w:pPr>
        <w:autoSpaceDN w:val="0"/>
        <w:autoSpaceDE w:val="0"/>
        <w:widowControl/>
        <w:spacing w:line="150" w:lineRule="exact" w:before="511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6"/>
        </w:rPr>
        <w:t>Fig. 2</w:t>
      </w:r>
      <w:r>
        <w:rPr>
          <w:spacing w:val="-10"/>
          <w:rFonts w:ascii="MyriadPro" w:hAnsi="MyriadPro" w:eastAsia="MyriadPro"/>
          <w:color w:val="000000"/>
          <w:sz w:val="16"/>
        </w:rPr>
        <w:t xml:space="preserve"> Descriptive statistics of the students’performance</w:t>
      </w:r>
    </w:p>
    <w:p>
      <w:pPr>
        <w:sectPr>
          <w:pgSz w:w="11906" w:h="15874"/>
          <w:pgMar w:top="240" w:right="240" w:bottom="114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820" w:type="dxa"/>
        <w:gridCol w:w="402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9 of 18</w:t>
            </w:r>
          </w:p>
        </w:tc>
      </w:tr>
    </w:tbl>
    <w:p>
      <w:pPr>
        <w:autoSpaceDN w:val="0"/>
        <w:autoSpaceDE w:val="0"/>
        <w:widowControl/>
        <w:spacing w:line="170" w:lineRule="exact" w:before="780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4.5 Central tendency</w:t>
      </w:r>
    </w:p>
    <w:p>
      <w:pPr>
        <w:autoSpaceDN w:val="0"/>
        <w:autoSpaceDE w:val="0"/>
        <w:widowControl/>
        <w:spacing w:line="292" w:lineRule="exact" w:before="5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mean and median values are used to represent the central tendency of scores for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each course and the overall GPA. When these two measures are closely aligned, as is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typically the case in most courses, it suggests that the distribution of scores is approxi­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mately symmetrical. For instance, ME 8414 shows a mean of 66.07 and a median of 66,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indicating minimal skew in the data. This alignment implies that the distribution is not</w:t>
      </w:r>
    </w:p>
    <w:p>
      <w:pPr>
        <w:autoSpaceDN w:val="0"/>
        <w:autoSpaceDE w:val="0"/>
        <w:widowControl/>
        <w:spacing w:line="254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heavily skewed toward highe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 xml:space="preserve">r 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or lower scores, making it suitable for parametric analy­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sis. According to Hair et al. [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when the skewness statistic falls between −1 and + 1,</w:t>
      </w:r>
    </w:p>
    <w:p>
      <w:pPr>
        <w:autoSpaceDN w:val="0"/>
        <w:autoSpaceDE w:val="0"/>
        <w:widowControl/>
        <w:spacing w:line="282" w:lineRule="exact" w:before="58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data distribution is considered approximately normal. The skewness for ME 8414 is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0.11, which confirms that the data is only mildly right-skewed and thus approximately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normal. This interpretation is further supported by the Shapiro-Wilk test, which yields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 p-value of 0.253 for ME 8414, indicating no significant deviation from normality at the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0.05 level. Together, these findings suggest that the data for most courses is reasonably</w:t>
      </w:r>
    </w:p>
    <w:p>
      <w:pPr>
        <w:autoSpaceDN w:val="0"/>
        <w:autoSpaceDE w:val="0"/>
        <w:widowControl/>
        <w:spacing w:line="254" w:lineRule="exact" w:before="0" w:after="0"/>
        <w:ind w:left="2112" w:right="2016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well-behaved statistically, supporting the appropriateness of subsequent multivariate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techniques such as PCA.</w:t>
      </w:r>
    </w:p>
    <w:p>
      <w:pPr>
        <w:autoSpaceDN w:val="0"/>
        <w:autoSpaceDE w:val="0"/>
        <w:widowControl/>
        <w:spacing w:line="166" w:lineRule="exact" w:before="392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4.6 Spread</w:t>
      </w:r>
    </w:p>
    <w:p>
      <w:pPr>
        <w:autoSpaceDN w:val="0"/>
        <w:autoSpaceDE w:val="0"/>
        <w:widowControl/>
        <w:spacing w:line="282" w:lineRule="exact" w:before="7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standard deviation and variance provide insights into the degree of variability in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student performance across different courses. A higher standard deviation and variance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indicate greater dispersion in scores, meaning students performed more unevenly in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that subject. For example, CS 8406 exhibited the highest variability (SD = 12.91, vari­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ance = 166.55), suggesting that while some students excelled, others struggled signifi­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cantly, possibly reflecting differences in prior exposure to computing or inconsistencies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 instructional delivery. In contrast, ME 8401 exhibited much lower variability (SD =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6.41, variance = 41.12), indicating a more uniform understanding or assessment struc­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ture among students. Notably, GPA showed the lowest variability (SD = 0.31, variance =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0.10), suggesting that overall student performance was relatively consistent. This narrow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spread could imply standardisation in grading across courses or a generally ho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m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ogenous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student cohort in terms of academic ability. According to Abdi and Williams [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under­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standing variability is essential for interpreting multivariate patterns because variables</w:t>
      </w:r>
    </w:p>
    <w:p>
      <w:pPr>
        <w:autoSpaceDN w:val="0"/>
        <w:autoSpaceDE w:val="0"/>
        <w:widowControl/>
        <w:spacing w:line="284" w:lineRule="exact" w:before="5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with high dispersion often exert a disproportionate influence on dimensionality reduc­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 techniques, such as PCA. Therefore, identifying courses with high variance (e.g., CS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8406) is important not only for pedagogical review but also for ensuring balanced inputs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 statistical modelling. Moreover, low-variability measures such as GPA may serve as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stable outcome indicators in predictive models, but may contribute less to identifying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latent groupings due to their limited spread.</w:t>
      </w:r>
    </w:p>
    <w:p>
      <w:pPr>
        <w:autoSpaceDN w:val="0"/>
        <w:autoSpaceDE w:val="0"/>
        <w:widowControl/>
        <w:spacing w:line="164" w:lineRule="exact" w:before="394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4.7 Range</w:t>
      </w:r>
    </w:p>
    <w:p>
      <w:pPr>
        <w:autoSpaceDN w:val="0"/>
        <w:autoSpaceDE w:val="0"/>
        <w:widowControl/>
        <w:spacing w:line="290" w:lineRule="exact" w:before="5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range indicates the spread between the highest and lowest scores, offering a direct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view of performance extremes. CS 8406 exhibited the widest range (58), while ME 8412</w:t>
      </w:r>
    </w:p>
    <w:p>
      <w:pPr>
        <w:autoSpaceDN w:val="0"/>
        <w:autoSpaceDE w:val="0"/>
        <w:widowControl/>
        <w:spacing w:line="284" w:lineRule="exact" w:before="5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had the narrowest (20), suggesting substantial differences in score dispersion between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courses. A wide range, as seen in CS 8406, may reflect diverse levels of student prepared­</w:t>
      </w:r>
    </w:p>
    <w:p>
      <w:pPr>
        <w:autoSpaceDN w:val="0"/>
        <w:autoSpaceDE w:val="0"/>
        <w:widowControl/>
        <w:spacing w:line="254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ness, variations in instructional quality, or potentially inconsistent assessment standards.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 contrast, a narrow range like that in ME 8412 could point to more uniform perfor­</w:t>
      </w:r>
    </w:p>
    <w:p>
      <w:pPr>
        <w:autoSpaceDN w:val="0"/>
        <w:autoSpaceDE w:val="0"/>
        <w:widowControl/>
        <w:spacing w:line="284" w:lineRule="exact" w:before="5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mance, either due to standardised assessments or limited differentiation in student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abilities. According to Jolliffe and Cadima [</w:t>
      </w:r>
      <w:hyperlink r:id="rId7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variables with wider ranges and higher</w:t>
      </w:r>
    </w:p>
    <w:p>
      <w:pPr>
        <w:sectPr>
          <w:pgSz w:w="11906" w:h="15874"/>
          <w:pgMar w:top="240" w:right="240" w:bottom="12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10 of 18</w:t>
            </w:r>
          </w:p>
        </w:tc>
      </w:tr>
    </w:tbl>
    <w:p>
      <w:pPr>
        <w:autoSpaceDN w:val="0"/>
        <w:autoSpaceDE w:val="0"/>
        <w:widowControl/>
        <w:spacing w:line="290" w:lineRule="exact" w:before="73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variability can disproportionately influence the structure of multivariate techniques such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 Principal Component Analysis (PCA), as they introduce more dominant variance into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analysis. This means that CS 8406, with its broad range, may heavily influence the</w:t>
      </w:r>
    </w:p>
    <w:p>
      <w:pPr>
        <w:autoSpaceDN w:val="0"/>
        <w:autoSpaceDE w:val="0"/>
        <w:widowControl/>
        <w:spacing w:line="264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principal components unless the data is standardised. Understanding range is thus not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only crucial for interpreting student performance disparities but also for preparing data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appropriately for robust multivariate modelling.</w:t>
      </w:r>
    </w:p>
    <w:p>
      <w:pPr>
        <w:autoSpaceDN w:val="0"/>
        <w:autoSpaceDE w:val="0"/>
        <w:widowControl/>
        <w:spacing w:line="134" w:lineRule="exact" w:before="38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4.8 Skewness and kurtosis</w:t>
      </w:r>
    </w:p>
    <w:p>
      <w:pPr>
        <w:autoSpaceDN w:val="0"/>
        <w:autoSpaceDE w:val="0"/>
        <w:widowControl/>
        <w:spacing w:line="188" w:lineRule="exact" w:before="1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Skewness values for most courses hover around zero, indicating that their score distribu­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tions are approximately symmetric. This symmetry suggests a balanced spread of scores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around the mean, which is ideal for applying parametric techniques like PCA. However,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notable exceptions exist. For example, ME 8414 exhibits a skewness of -1.2, indicating a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strong left-skewed (negatively skewed) distribution, where a majority of students scored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relatively high, while a few scored much lower. This pattern may point to an assessment</w:t>
      </w:r>
    </w:p>
    <w:p>
      <w:pPr>
        <w:autoSpaceDN w:val="0"/>
        <w:autoSpaceDE w:val="0"/>
        <w:widowControl/>
        <w:spacing w:line="264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that was generally easy or one where only a few students underperformed. Kurtosis val­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ues near zero suggest that many distributions resemble the standard curve in terms of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tail weight and peakedness. However, some courses deviate substantially. ME 8408, with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 kurtosis of -1.16, is platykurtic, indicating a flatter distribution with lighter tails, sug­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gesting a wider spread of scores and fewer extreme values. In contrast, ME 8414 has a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kurtosis of 2.86, classifying it as leptokurtic, which reflects a sharper peak and heavier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tails, implying that scores are tightly clustered arou</w:t>
      </w:r>
      <w:hyperlink r:id="rId10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nd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the mean with more frequent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extreme values on either side. According to Shlens [</w:t>
      </w:r>
      <w:hyperlink r:id="rId10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21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], understanding skewness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kurtosis is essential in multivariate analysis because these distributional features can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influence the effectiveness of linear models, such as PCA, which typically assume dis­</w:t>
      </w:r>
    </w:p>
    <w:p>
      <w:pPr>
        <w:autoSpaceDN w:val="0"/>
        <w:autoSpaceDE w:val="0"/>
        <w:widowControl/>
        <w:spacing w:line="254" w:lineRule="exact" w:before="0" w:after="0"/>
        <w:ind w:left="2112" w:right="2016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tributed variables. Highly skewed or kurtotic variables may distort component loadings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or require transformation before analysis.</w:t>
      </w:r>
    </w:p>
    <w:p>
      <w:pPr>
        <w:autoSpaceDN w:val="0"/>
        <w:autoSpaceDE w:val="0"/>
        <w:widowControl/>
        <w:spacing w:line="172" w:lineRule="exact" w:before="38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4.9 Normality tests</w:t>
      </w:r>
    </w:p>
    <w:p>
      <w:pPr>
        <w:autoSpaceDN w:val="0"/>
        <w:autoSpaceDE w:val="0"/>
        <w:widowControl/>
        <w:spacing w:line="290" w:lineRule="exact" w:before="5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Shapiro-Wilk W and corresponding p-values are used to assess the normality of data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distributions. In this analysis, most courses yielded W values between 0.98 and 0.99,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which are close to 1, the ideal value for a perfectly normal distribution. According to sta­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tistical conventions, W values above 0.95 generally suggest that the data is approximately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normal, particularly when accompanied by non-significant p-values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p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&gt; 0.05). Based on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this scale, the majority of the course scores can be considered approximately normally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distributed. However, ME 8408 is a notable exception. Despite a high W value of 0.93, its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p-value was less than 0.001, indicating a statistically significant deviation from normal­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ity. This finding suggests that the distribution of scores in ME 8408 does not conform to</w:t>
      </w:r>
    </w:p>
    <w:p>
      <w:pPr>
        <w:autoSpaceDN w:val="0"/>
        <w:autoSpaceDE w:val="0"/>
        <w:widowControl/>
        <w:spacing w:line="27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assumptions of normality, and therefore may necessitate the use of non-parametric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e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chniques or data transformation in subsequent analyses. As emphasised by Hair et al.,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[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], testing for normality is critical when preparing data for multivariate analyses, such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 Principal Component Analysis (PCA), which assumes a linear relationship and regu­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lar distribution of variables. Violations of these assumptions can distort factor extraction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and interpretation, making preliminary diagnostics such as the Shapiro-Wilk test a vital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step in data screening.</w:t>
      </w:r>
    </w:p>
    <w:p>
      <w:pPr>
        <w:sectPr>
          <w:pgSz w:w="11906" w:h="15874"/>
          <w:pgMar w:top="240" w:right="240" w:bottom="184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7992109</wp:posOffset>
            </wp:positionV>
            <wp:extent cx="66675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7992109</wp:posOffset>
            </wp:positionV>
            <wp:extent cx="136017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3520440</wp:posOffset>
            </wp:positionH>
            <wp:positionV relativeFrom="page">
              <wp:posOffset>7992109</wp:posOffset>
            </wp:positionV>
            <wp:extent cx="66675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4187190</wp:posOffset>
            </wp:positionH>
            <wp:positionV relativeFrom="page">
              <wp:posOffset>7844790</wp:posOffset>
            </wp:positionV>
            <wp:extent cx="187833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4187190</wp:posOffset>
            </wp:positionH>
            <wp:positionV relativeFrom="page">
              <wp:posOffset>7992109</wp:posOffset>
            </wp:positionV>
            <wp:extent cx="187833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9326880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11 of 18</w:t>
            </w:r>
          </w:p>
        </w:tc>
      </w:tr>
    </w:tbl>
    <w:p>
      <w:pPr>
        <w:autoSpaceDN w:val="0"/>
        <w:autoSpaceDE w:val="0"/>
        <w:widowControl/>
        <w:spacing w:line="284" w:lineRule="exact" w:before="664" w:after="0"/>
        <w:ind w:left="2112" w:right="2016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4.10 C</w:t>
      </w:r>
      <w:hyperlink r:id="rId106" w:history="1">
        <w:r>
          <w:rPr>
            <w:rStyle w:val="Hyperlink"/>
            <w:rFonts w:ascii="MyriadPro" w:hAnsi="MyriadPro" w:eastAsia="MyriadPro" w:cs="MyriadPro"/>
            <w:sz w:val="18.399999618530273"/>
            <w:b/>
            <w:color w:val="000000"/>
            <w:w w:val="102.22222010294597"/>
            <w:spacing w:val="-10"/>
          </w:rPr>
          <w:t>o</w:t>
        </w:r>
      </w:hyperlink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 xml:space="preserve">rrelation between course scores and GPA in mechanical engineering students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0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presents a Pearson correlation matrix assessing linear associations between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students’ performance in individual mechanical engineering courses and their overall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Grade Point Average (GPA). Notably, strong positive correlations were observed for ME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8401 – Fluid Power and Control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0.72), CS 8406 – Object-Oriented Programming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 xml:space="preserve">r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= 0.64), ME 8415 – Computer-Aided Manufacturing (CAM)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0.63), and ME 8411 –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Automation and Robotics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0.61), suggesting that achievement in these courses aligns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closely with overall academic success. While Pearson’s correlation does not imply causal­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ity, it indicates that students who excel in these modules tend to achieve higher GPAs.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However, the statistical significance of these correlations requires confirmation through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accompanying p-values, which are not reported here. In contrast, ME 8408 – Industrial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Practical Training III showed a weak negative correlation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-0.21), potentially indicat­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misalignment in the assessment or distinct evaluation criteria that do not accurately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reflect general academic performance. Similarly, ME 8407 – Senior Project I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0.22)</w:t>
      </w:r>
    </w:p>
    <w:p>
      <w:pPr>
        <w:autoSpaceDN w:val="0"/>
        <w:autoSpaceDE w:val="0"/>
        <w:widowControl/>
        <w:spacing w:line="190" w:lineRule="exact" w:before="3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ME 8417 – Senior Project II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0.33) showed low correlations with GPA, implying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limited influence on cumulative performance. Inter-course correlations, such as those</w:t>
      </w:r>
    </w:p>
    <w:p>
      <w:pPr>
        <w:autoSpaceDN w:val="0"/>
        <w:autoSpaceDE w:val="0"/>
        <w:widowControl/>
        <w:spacing w:line="264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between ME 8401 and ME 8411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0.60) and between ME 8415 and ME 8416 – Indus­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trial Supervisor Skills and Leadership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= 0.51)- </w:t>
      </w:r>
      <w:hyperlink r:id="rId107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s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uggest potential overlap in compe­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tencies or thematic content. According to Cohen [</w:t>
      </w:r>
      <w:hyperlink r:id="rId107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correlation values above 0.50 are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considered significant, those between 0.30 and 0.49 are moderate, and those below 0.30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are small, which guides the interpretation of these findings for curriculum evaluation</w:t>
      </w:r>
    </w:p>
    <w:p>
      <w:pPr>
        <w:autoSpaceDN w:val="0"/>
        <w:autoSpaceDE w:val="0"/>
        <w:widowControl/>
        <w:spacing w:line="186" w:lineRule="exact" w:before="4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academic planning.</w:t>
      </w:r>
    </w:p>
    <w:p>
      <w:pPr>
        <w:autoSpaceDN w:val="0"/>
        <w:autoSpaceDE w:val="0"/>
        <w:widowControl/>
        <w:spacing w:line="286" w:lineRule="exact" w:before="270" w:after="0"/>
        <w:ind w:left="2112" w:right="2016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 xml:space="preserve">4.11 PCA of performance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PCA was applied to reduce the complexity of student performance data and identify key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underlying dimensions. By transforming correlated course scores into a smaller set of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uncorrelated components, PCA highlights core performance domains and reveals pat­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terns not evident from raw scores. This aids in curriculum evaluation and supports evi­</w:t>
      </w:r>
    </w:p>
    <w:p>
      <w:pPr>
        <w:autoSpaceDN w:val="0"/>
        <w:autoSpaceDE w:val="0"/>
        <w:widowControl/>
        <w:spacing w:line="188" w:lineRule="exact" w:before="3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dence-based improvements in mechanical engineering education.</w:t>
      </w:r>
    </w:p>
    <w:p>
      <w:pPr>
        <w:autoSpaceDN w:val="0"/>
        <w:autoSpaceDE w:val="0"/>
        <w:widowControl/>
        <w:spacing w:line="284" w:lineRule="exact" w:before="276" w:after="0"/>
        <w:ind w:left="2112" w:right="2016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 xml:space="preserve">4.11.1 Scree plot for factor retention in exploratory factor analysis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To determine the optimal num</w:t>
      </w:r>
      <w:hyperlink r:id="rId108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b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er of components for retention, a scree plot was used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 a visual diagnostic tool (Fig.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0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). According to the Kaiser criterion, components with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eigenvalues greater than 1 are </w:t>
      </w:r>
      <w:hyperlink r:id="rId109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co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nsidered meaningful, as each explains more variance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than a single original variable [</w:t>
      </w:r>
      <w:hyperlink r:id="rId10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]. In this analysis, Component 1 had an eigenvalue of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approximately 6.72, indicating it accounted for a substantial portion of the variance,</w:t>
      </w:r>
    </w:p>
    <w:p>
      <w:pPr>
        <w:autoSpaceDN w:val="0"/>
        <w:autoSpaceDE w:val="0"/>
        <w:widowControl/>
        <w:spacing w:line="170" w:lineRule="exact" w:before="400" w:after="4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  <w:u w:val="single"/>
        </w:rPr>
        <w:t>Table 4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 xml:space="preserve"> The c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orrelation matrix of the course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s key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20" w:type="dxa"/>
        <w:gridCol w:w="1560" w:type="dxa"/>
        <w:gridCol w:w="3100" w:type="dxa"/>
      </w:tblGrid>
      <w:tr>
        <w:trPr>
          <w:trHeight w:hRule="exact" w:val="216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0" w:after="0"/>
              <w:ind w:left="0" w:right="98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Course code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44" w:after="0"/>
              <w:ind w:left="10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Course name</w:t>
            </w:r>
          </w:p>
        </w:tc>
        <w:tc>
          <w:tcPr>
            <w:tcW w:type="dxa" w:w="1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0" w:after="0"/>
              <w:ind w:left="0" w:right="88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Course code</w:t>
            </w:r>
          </w:p>
        </w:tc>
        <w:tc>
          <w:tcPr>
            <w:tcW w:type="dxa" w:w="3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44" w:after="0"/>
              <w:ind w:left="11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Course name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2320" w:type="dxa"/>
        <w:gridCol w:w="900" w:type="dxa"/>
        <w:gridCol w:w="3740" w:type="dxa"/>
      </w:tblGrid>
      <w:tr>
        <w:trPr>
          <w:trHeight w:hRule="exact" w:val="248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CS 8406</w:t>
            </w:r>
          </w:p>
        </w:tc>
        <w:tc>
          <w:tcPr>
            <w:tcW w:type="dxa" w:w="2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58" w:after="0"/>
              <w:ind w:left="28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Object Oriented Programming</w:t>
            </w:r>
          </w:p>
        </w:tc>
        <w:tc>
          <w:tcPr>
            <w:tcW w:type="dxa" w:w="9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10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8409</w:t>
            </w:r>
          </w:p>
        </w:tc>
        <w:tc>
          <w:tcPr>
            <w:tcW w:type="dxa" w:w="3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Quality Assurance and Control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2100" w:type="dxa"/>
        <w:gridCol w:w="1100" w:type="dxa"/>
        <w:gridCol w:w="4200" w:type="dxa"/>
      </w:tblGrid>
      <w:tr>
        <w:trPr>
          <w:trHeight w:hRule="exact" w:val="252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6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8401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Fluid Power and Control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6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8410</w:t>
            </w:r>
          </w:p>
        </w:tc>
        <w:tc>
          <w:tcPr>
            <w:tcW w:type="dxa" w:w="4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Engineering Ethics and Professional Conduct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1740" w:type="dxa"/>
        <w:gridCol w:w="1460" w:type="dxa"/>
        <w:gridCol w:w="3600" w:type="dxa"/>
      </w:tblGrid>
      <w:tr>
        <w:trPr>
          <w:trHeight w:hRule="exact" w:val="232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8402</w:t>
            </w:r>
          </w:p>
        </w:tc>
        <w:tc>
          <w:tcPr>
            <w:tcW w:type="dxa" w:w="1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58" w:after="0"/>
              <w:ind w:left="26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Power Plants</w:t>
            </w:r>
          </w:p>
        </w:tc>
        <w:tc>
          <w:tcPr>
            <w:tcW w:type="dxa" w:w="1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5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8411</w:t>
            </w:r>
          </w:p>
        </w:tc>
        <w:tc>
          <w:tcPr>
            <w:tcW w:type="dxa" w:w="3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Automation and Robotics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2140" w:type="dxa"/>
        <w:gridCol w:w="1060" w:type="dxa"/>
        <w:gridCol w:w="3620" w:type="dxa"/>
      </w:tblGrid>
      <w:tr>
        <w:trPr>
          <w:trHeight w:hRule="exact" w:val="25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6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8403</w:t>
            </w:r>
          </w:p>
        </w:tc>
        <w:tc>
          <w:tcPr>
            <w:tcW w:type="dxa" w:w="2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Material Handling Design</w:t>
            </w:r>
          </w:p>
        </w:tc>
        <w:tc>
          <w:tcPr>
            <w:tcW w:type="dxa" w:w="1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6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8412</w:t>
            </w:r>
          </w:p>
        </w:tc>
        <w:tc>
          <w:tcPr>
            <w:tcW w:type="dxa" w:w="3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60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Engine Design Technology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1860" w:type="dxa"/>
        <w:gridCol w:w="1340" w:type="dxa"/>
        <w:gridCol w:w="3440" w:type="dxa"/>
      </w:tblGrid>
      <w:tr>
        <w:trPr>
          <w:trHeight w:hRule="exact" w:val="25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8404</w:t>
            </w:r>
          </w:p>
        </w:tc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6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Turbo Machinery</w:t>
            </w:r>
          </w:p>
        </w:tc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5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8413</w:t>
            </w:r>
          </w:p>
        </w:tc>
        <w:tc>
          <w:tcPr>
            <w:tcW w:type="dxa" w:w="34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Foundry Technology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2080" w:type="dxa"/>
        <w:gridCol w:w="1120" w:type="dxa"/>
        <w:gridCol w:w="3560" w:type="dxa"/>
      </w:tblGrid>
      <w:tr>
        <w:trPr>
          <w:trHeight w:hRule="exact" w:val="25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8405</w:t>
            </w:r>
          </w:p>
        </w:tc>
        <w:tc>
          <w:tcPr>
            <w:tcW w:type="dxa" w:w="2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58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Production Engineering</w:t>
            </w:r>
          </w:p>
        </w:tc>
        <w:tc>
          <w:tcPr>
            <w:tcW w:type="dxa" w:w="1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8414</w:t>
            </w:r>
          </w:p>
        </w:tc>
        <w:tc>
          <w:tcPr>
            <w:tcW w:type="dxa" w:w="3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Air Conditioning System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1980" w:type="dxa"/>
        <w:gridCol w:w="1220" w:type="dxa"/>
        <w:gridCol w:w="4020" w:type="dxa"/>
      </w:tblGrid>
      <w:tr>
        <w:trPr>
          <w:trHeight w:hRule="exact" w:val="25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6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8406</w:t>
            </w:r>
          </w:p>
        </w:tc>
        <w:tc>
          <w:tcPr>
            <w:tcW w:type="dxa" w:w="1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0" w:lineRule="exact" w:before="58" w:after="0"/>
              <w:ind w:left="26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Refrigeration System</w:t>
            </w:r>
          </w:p>
        </w:tc>
        <w:tc>
          <w:tcPr>
            <w:tcW w:type="dxa" w:w="1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6" w:after="0"/>
              <w:ind w:left="0" w:right="25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8415</w:t>
            </w:r>
          </w:p>
        </w:tc>
        <w:tc>
          <w:tcPr>
            <w:tcW w:type="dxa" w:w="4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Computer-Aided Manufacturing (CAM)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1800" w:type="dxa"/>
        <w:gridCol w:w="1400" w:type="dxa"/>
        <w:gridCol w:w="4100" w:type="dxa"/>
      </w:tblGrid>
      <w:tr>
        <w:trPr>
          <w:trHeight w:hRule="exact" w:val="25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8407</w:t>
            </w:r>
          </w:p>
        </w:tc>
        <w:tc>
          <w:tcPr>
            <w:tcW w:type="dxa" w:w="1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62" w:after="0"/>
              <w:ind w:left="26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Senior Project I</w:t>
            </w:r>
          </w:p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5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8416</w:t>
            </w:r>
          </w:p>
        </w:tc>
        <w:tc>
          <w:tcPr>
            <w:tcW w:type="dxa" w:w="4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58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Industrial Supervisor Skills and Leadership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2240" w:type="dxa"/>
        <w:gridCol w:w="960" w:type="dxa"/>
        <w:gridCol w:w="3280" w:type="dxa"/>
      </w:tblGrid>
      <w:tr>
        <w:trPr>
          <w:trHeight w:hRule="exact" w:val="198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8408</w:t>
            </w:r>
          </w:p>
        </w:tc>
        <w:tc>
          <w:tcPr>
            <w:tcW w:type="dxa" w:w="2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58" w:after="0"/>
              <w:ind w:left="26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Industrial Practical Training III</w:t>
            </w:r>
          </w:p>
        </w:tc>
        <w:tc>
          <w:tcPr>
            <w:tcW w:type="dxa" w:w="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4" w:after="0"/>
              <w:ind w:left="16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8417</w:t>
            </w:r>
          </w:p>
        </w:tc>
        <w:tc>
          <w:tcPr>
            <w:tcW w:type="dxa" w:w="3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62" w:after="0"/>
              <w:ind w:left="2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Senior Project II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5874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1619250</wp:posOffset>
            </wp:positionH>
            <wp:positionV relativeFrom="page">
              <wp:posOffset>1060450</wp:posOffset>
            </wp:positionV>
            <wp:extent cx="4324350" cy="254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5463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12 of 18</w:t>
            </w:r>
          </w:p>
        </w:tc>
      </w:tr>
    </w:tbl>
    <w:p>
      <w:pPr>
        <w:autoSpaceDN w:val="0"/>
        <w:autoSpaceDE w:val="0"/>
        <w:widowControl/>
        <w:spacing w:line="150" w:lineRule="exact" w:before="501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6"/>
        </w:rPr>
        <w:t>Fig. 3</w:t>
      </w:r>
      <w:r>
        <w:rPr>
          <w:spacing w:val="-10"/>
          <w:rFonts w:ascii="MyriadPro" w:hAnsi="MyriadPro" w:eastAsia="MyriadPro"/>
          <w:color w:val="000000"/>
          <w:sz w:val="16"/>
        </w:rPr>
        <w:t xml:space="preserve"> The scree plot for principal component analysis for the course performance</w:t>
      </w:r>
    </w:p>
    <w:p>
      <w:pPr>
        <w:autoSpaceDN w:val="0"/>
        <w:autoSpaceDE w:val="0"/>
        <w:widowControl/>
        <w:spacing w:line="284" w:lineRule="exact" w:before="17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while Component 2 had an eigenvalue of approximately 1.89. These are the only two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components that met the Kaiser threshold, confirming their relevance for further analy­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sis. All subsequent components had eigenvalues below 1 and were therefore excluded</w:t>
      </w:r>
    </w:p>
    <w:p>
      <w:pPr>
        <w:autoSpaceDN w:val="0"/>
        <w:autoSpaceDE w:val="0"/>
        <w:widowControl/>
        <w:spacing w:line="282" w:lineRule="exact" w:before="58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due to their limited explanatory power. The “elbow” point in the scree plot—where the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rate of decline in eigenvalues visibly flattens, further supports retaining only the first two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components. This visual method, as described by Cattell [</w:t>
      </w:r>
      <w:hyperlink r:id="rId11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identifies the point at which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additional components contribute minimal incremental variance, thus ensuring that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only the most informative dimensions are retained. This dual-criterion approach (Kai­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ser + elbow) supports a parsimonious solution that balances dimensionality reduction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with the retention of essential information. Simplifying the factor structure in this way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enhances interpretability and strengthens the analytical robustness of the subsequent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Exploratory Factor Analysis.</w:t>
      </w:r>
    </w:p>
    <w:p>
      <w:pPr>
        <w:autoSpaceDN w:val="0"/>
        <w:autoSpaceDE w:val="0"/>
        <w:widowControl/>
        <w:spacing w:line="290" w:lineRule="exact" w:before="270" w:after="0"/>
        <w:ind w:left="2112" w:right="2016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4.12 L</w:t>
      </w:r>
      <w:hyperlink r:id="rId116" w:history="1">
        <w:r>
          <w:rPr>
            <w:rStyle w:val="Hyperlink"/>
            <w:rFonts w:ascii="MyriadPro" w:hAnsi="MyriadPro" w:eastAsia="MyriadPro" w:cs="MyriadPro"/>
            <w:sz w:val="18.399999618530273"/>
            <w:b/>
            <w:color w:val="000000"/>
            <w:w w:val="102.22222010294597"/>
            <w:spacing w:val="-10"/>
          </w:rPr>
          <w:t>a</w:t>
        </w:r>
      </w:hyperlink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 xml:space="preserve">tent dimensions of student achievement and their underlying competencies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1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presents the factor loadings obtained from students’ performance data using the</w:t>
      </w:r>
    </w:p>
    <w:p>
      <w:pPr>
        <w:autoSpaceDN w:val="0"/>
        <w:autoSpaceDE w:val="0"/>
        <w:widowControl/>
        <w:spacing w:line="162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minimum residual extraction method with oblimin rotation, which allows for correlated</w:t>
      </w:r>
    </w:p>
    <w:p>
      <w:pPr>
        <w:autoSpaceDN w:val="0"/>
        <w:autoSpaceDE w:val="0"/>
        <w:widowControl/>
        <w:spacing w:line="188" w:lineRule="exact" w:before="12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factors. Factor loadings indicate the strength and direction of the relationship between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observed course scores and the underlying latent factors. These values are interpreted</w:t>
      </w:r>
    </w:p>
    <w:p>
      <w:pPr>
        <w:autoSpaceDN w:val="0"/>
        <w:autoSpaceDE w:val="0"/>
        <w:widowControl/>
        <w:spacing w:line="254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using a standard scale: loadings below 0.30 are considered low, those between 0.30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0.49 are moderate, and those of 0.50 or higher are regarded as strong indicators of asso­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ciation. Higher loadings indicate that a course is more influential in defining a given</w:t>
      </w:r>
    </w:p>
    <w:p>
      <w:pPr>
        <w:autoSpaceDN w:val="0"/>
        <w:autoSpaceDE w:val="0"/>
        <w:widowControl/>
        <w:spacing w:line="264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factor, providing insight into the dominant performance domains. Additionally, unique­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ness values are reported as the proportion of each variable’s variance not explained by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extracted factors, thereby highlighting variables that may not align closely with the</w:t>
      </w:r>
    </w:p>
    <w:p>
      <w:pPr>
        <w:autoSpaceDN w:val="0"/>
        <w:autoSpaceDE w:val="0"/>
        <w:widowControl/>
        <w:spacing w:line="142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shared latent constructs.</w:t>
      </w:r>
    </w:p>
    <w:p>
      <w:pPr>
        <w:autoSpaceDN w:val="0"/>
        <w:autoSpaceDE w:val="0"/>
        <w:widowControl/>
        <w:spacing w:line="128" w:lineRule="exact" w:before="43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>4.12.1 GPA</w:t>
      </w:r>
    </w:p>
    <w:p>
      <w:pPr>
        <w:autoSpaceDN w:val="0"/>
        <w:autoSpaceDE w:val="0"/>
        <w:widowControl/>
        <w:spacing w:line="190" w:lineRule="exact" w:before="1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GPA shows moderate loadings on Factors 1 (0.33) and 4 (0.39), suggesting that these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factors moderately influence overall academic performance. The low unique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ess (0.04)</w:t>
      </w:r>
    </w:p>
    <w:p>
      <w:pPr>
        <w:autoSpaceDN w:val="0"/>
        <w:autoSpaceDE w:val="0"/>
        <w:widowControl/>
        <w:spacing w:line="186" w:lineRule="exact" w:before="4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indicates that the majority of GPA variance is accounted for by these factors [</w:t>
      </w:r>
      <w:hyperlink r:id="rId7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9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].</w:t>
      </w:r>
    </w:p>
    <w:p>
      <w:pPr>
        <w:sectPr>
          <w:pgSz w:w="11906" w:h="15874"/>
          <w:pgMar w:top="240" w:right="240" w:bottom="12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1518920</wp:posOffset>
            </wp:positionV>
            <wp:extent cx="457200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4334510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5435600</wp:posOffset>
            </wp:positionH>
            <wp:positionV relativeFrom="page">
              <wp:posOffset>1221740</wp:posOffset>
            </wp:positionV>
            <wp:extent cx="62992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5435600</wp:posOffset>
            </wp:positionH>
            <wp:positionV relativeFrom="page">
              <wp:posOffset>1370330</wp:posOffset>
            </wp:positionV>
            <wp:extent cx="62992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2992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2152650</wp:posOffset>
            </wp:positionH>
            <wp:positionV relativeFrom="page">
              <wp:posOffset>1221740</wp:posOffset>
            </wp:positionV>
            <wp:extent cx="32829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2152650</wp:posOffset>
            </wp:positionH>
            <wp:positionV relativeFrom="page">
              <wp:posOffset>1370330</wp:posOffset>
            </wp:positionV>
            <wp:extent cx="32067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50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13 of 18</w:t>
            </w:r>
          </w:p>
        </w:tc>
      </w:tr>
    </w:tbl>
    <w:p>
      <w:pPr>
        <w:autoSpaceDN w:val="0"/>
        <w:autoSpaceDE w:val="0"/>
        <w:widowControl/>
        <w:spacing w:line="168" w:lineRule="exact" w:before="834" w:after="42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  <w:u w:val="single"/>
        </w:rPr>
        <w:t>Table 5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 xml:space="preserve"> Facto</w:t>
      </w:r>
      <w:r>
        <w:rPr>
          <w:spacing w:val="-10"/>
          <w:rFonts w:ascii="MyriadPro" w:hAnsi="MyriadPro" w:eastAsia="MyriadPro"/>
          <w:color w:val="000000"/>
          <w:sz w:val="18"/>
        </w:rPr>
        <w:t>r loading of the student’s performance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3040" w:type="dxa"/>
        <w:gridCol w:w="4340" w:type="dxa"/>
      </w:tblGrid>
      <w:tr>
        <w:trPr>
          <w:trHeight w:hRule="exact" w:val="232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44" w:after="0"/>
              <w:ind w:left="0" w:right="242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Courses</w:t>
            </w:r>
          </w:p>
        </w:tc>
        <w:tc>
          <w:tcPr>
            <w:tcW w:type="dxa" w:w="30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46" w:after="0"/>
              <w:ind w:left="25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Factor</w:t>
            </w:r>
          </w:p>
        </w:tc>
        <w:tc>
          <w:tcPr>
            <w:tcW w:type="dxa" w:w="4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2" w:after="0"/>
              <w:ind w:left="0" w:right="1146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Uniqueness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560" w:type="dxa"/>
      </w:tblPr>
      <w:tblGrid>
        <w:gridCol w:w="1960" w:type="dxa"/>
        <w:gridCol w:w="680" w:type="dxa"/>
        <w:gridCol w:w="720" w:type="dxa"/>
        <w:gridCol w:w="720" w:type="dxa"/>
        <w:gridCol w:w="620" w:type="dxa"/>
        <w:gridCol w:w="640" w:type="dxa"/>
        <w:gridCol w:w="680" w:type="dxa"/>
        <w:gridCol w:w="2100" w:type="dxa"/>
      </w:tblGrid>
      <w:tr>
        <w:trPr>
          <w:trHeight w:hRule="exact" w:val="228"/>
        </w:trPr>
        <w:tc>
          <w:tcPr>
            <w:tcW w:type="dxa" w:w="1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284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1</w:t>
            </w:r>
          </w:p>
        </w:tc>
        <w:tc>
          <w:tcPr>
            <w:tcW w:type="dxa" w:w="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2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3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4</w:t>
            </w:r>
          </w:p>
        </w:tc>
        <w:tc>
          <w:tcPr>
            <w:tcW w:type="dxa" w:w="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5</w:t>
            </w:r>
          </w:p>
        </w:tc>
        <w:tc>
          <w:tcPr>
            <w:tcW w:type="dxa" w:w="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6</w:t>
            </w:r>
          </w:p>
        </w:tc>
        <w:tc>
          <w:tcPr>
            <w:tcW w:type="dxa" w:w="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7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30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8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40" w:type="dxa"/>
        <w:gridCol w:w="1400" w:type="dxa"/>
        <w:gridCol w:w="2900" w:type="dxa"/>
        <w:gridCol w:w="3080" w:type="dxa"/>
      </w:tblGrid>
      <w:tr>
        <w:trPr>
          <w:trHeight w:hRule="exact" w:val="232"/>
        </w:trPr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2" w:lineRule="exact" w:before="60" w:after="0"/>
              <w:ind w:left="0" w:right="2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CS 8406</w:t>
            </w:r>
          </w:p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27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</w:t>
            </w:r>
          </w:p>
        </w:tc>
        <w:tc>
          <w:tcPr>
            <w:tcW w:type="dxa" w:w="29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17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</w:t>
            </w:r>
          </w:p>
        </w:tc>
        <w:tc>
          <w:tcPr>
            <w:tcW w:type="dxa" w:w="3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4" w:after="0"/>
              <w:ind w:left="0" w:right="114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3220" w:type="dxa"/>
        <w:gridCol w:w="4180" w:type="dxa"/>
      </w:tblGrid>
      <w:tr>
        <w:trPr>
          <w:trHeight w:hRule="exact" w:val="23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8401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5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</w:t>
            </w:r>
          </w:p>
        </w:tc>
        <w:tc>
          <w:tcPr>
            <w:tcW w:type="dxa" w:w="41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0.31</w:t>
            </w:r>
          </w:p>
        </w:tc>
      </w:tr>
    </w:tbl>
    <w:p>
      <w:pPr>
        <w:autoSpaceDN w:val="0"/>
        <w:tabs>
          <w:tab w:pos="8932" w:val="left"/>
        </w:tabs>
        <w:autoSpaceDE w:val="0"/>
        <w:widowControl/>
        <w:spacing w:line="110" w:lineRule="exact" w:before="64" w:after="64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8402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0.55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920" w:type="dxa"/>
        <w:gridCol w:w="3220" w:type="dxa"/>
        <w:gridCol w:w="3120" w:type="dxa"/>
      </w:tblGrid>
      <w:tr>
        <w:trPr>
          <w:trHeight w:hRule="exact" w:val="230"/>
        </w:trPr>
        <w:tc>
          <w:tcPr>
            <w:tcW w:type="dxa" w:w="29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13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8403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7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0.44</w:t>
            </w:r>
          </w:p>
        </w:tc>
      </w:tr>
    </w:tbl>
    <w:p>
      <w:pPr>
        <w:autoSpaceDN w:val="0"/>
        <w:tabs>
          <w:tab w:pos="8932" w:val="left"/>
        </w:tabs>
        <w:autoSpaceDE w:val="0"/>
        <w:widowControl/>
        <w:spacing w:line="108" w:lineRule="exact" w:before="64" w:after="64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8404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0.78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4220" w:type="dxa"/>
        <w:gridCol w:w="3260" w:type="dxa"/>
        <w:gridCol w:w="1780" w:type="dxa"/>
      </w:tblGrid>
      <w:tr>
        <w:trPr>
          <w:trHeight w:hRule="exact" w:val="230"/>
        </w:trPr>
        <w:tc>
          <w:tcPr>
            <w:tcW w:type="dxa" w:w="4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6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8405</w:t>
            </w:r>
          </w:p>
        </w:tc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40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-0.4</w:t>
            </w:r>
          </w:p>
        </w:tc>
        <w:tc>
          <w:tcPr>
            <w:tcW w:type="dxa" w:w="1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41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200" w:type="dxa"/>
        <w:gridCol w:w="3220" w:type="dxa"/>
        <w:gridCol w:w="3840" w:type="dxa"/>
      </w:tblGrid>
      <w:tr>
        <w:trPr>
          <w:trHeight w:hRule="exact" w:val="230"/>
        </w:trPr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58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8406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9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</w:t>
            </w:r>
          </w:p>
        </w:tc>
        <w:tc>
          <w:tcPr>
            <w:tcW w:type="dxa" w:w="3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3880" w:type="dxa"/>
        <w:gridCol w:w="3220" w:type="dxa"/>
        <w:gridCol w:w="2160" w:type="dxa"/>
      </w:tblGrid>
      <w:tr>
        <w:trPr>
          <w:trHeight w:hRule="exact" w:val="228"/>
        </w:trPr>
        <w:tc>
          <w:tcPr>
            <w:tcW w:type="dxa" w:w="3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226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8407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75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40" w:type="dxa"/>
        <w:gridCol w:w="3240" w:type="dxa"/>
        <w:gridCol w:w="3480" w:type="dxa"/>
      </w:tblGrid>
      <w:tr>
        <w:trPr>
          <w:trHeight w:hRule="exact" w:val="230"/>
        </w:trPr>
        <w:tc>
          <w:tcPr>
            <w:tcW w:type="dxa" w:w="2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8408</w:t>
            </w:r>
          </w:p>
        </w:tc>
        <w:tc>
          <w:tcPr>
            <w:tcW w:type="dxa" w:w="3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08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-0.4</w:t>
            </w:r>
          </w:p>
        </w:tc>
        <w:tc>
          <w:tcPr>
            <w:tcW w:type="dxa" w:w="34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200" w:type="dxa"/>
        <w:gridCol w:w="3220" w:type="dxa"/>
        <w:gridCol w:w="3840" w:type="dxa"/>
      </w:tblGrid>
      <w:tr>
        <w:trPr>
          <w:trHeight w:hRule="exact" w:val="230"/>
        </w:trPr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58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8409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9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</w:t>
            </w:r>
          </w:p>
        </w:tc>
        <w:tc>
          <w:tcPr>
            <w:tcW w:type="dxa" w:w="3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0.62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3260" w:type="dxa"/>
        <w:gridCol w:w="3160" w:type="dxa"/>
        <w:gridCol w:w="2740" w:type="dxa"/>
      </w:tblGrid>
      <w:tr>
        <w:trPr>
          <w:trHeight w:hRule="exact" w:val="228"/>
        </w:trPr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6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8410</w:t>
            </w:r>
          </w:p>
        </w:tc>
        <w:tc>
          <w:tcPr>
            <w:tcW w:type="dxa" w:w="3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4" w:after="0"/>
              <w:ind w:left="0" w:right="14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</w:t>
            </w:r>
          </w:p>
        </w:tc>
        <w:tc>
          <w:tcPr>
            <w:tcW w:type="dxa" w:w="27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1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860" w:type="dxa"/>
        <w:gridCol w:w="3220" w:type="dxa"/>
        <w:gridCol w:w="4180" w:type="dxa"/>
      </w:tblGrid>
      <w:tr>
        <w:trPr>
          <w:trHeight w:hRule="exact" w:val="230"/>
        </w:trPr>
        <w:tc>
          <w:tcPr>
            <w:tcW w:type="dxa" w:w="1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4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8411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25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0.9</w:t>
            </w:r>
          </w:p>
        </w:tc>
        <w:tc>
          <w:tcPr>
            <w:tcW w:type="dxa" w:w="41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0.17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200" w:type="dxa"/>
        <w:gridCol w:w="2700" w:type="dxa"/>
        <w:gridCol w:w="2580" w:type="dxa"/>
        <w:gridCol w:w="1780" w:type="dxa"/>
      </w:tblGrid>
      <w:tr>
        <w:trPr>
          <w:trHeight w:hRule="exact" w:val="230"/>
        </w:trPr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58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8412</w:t>
            </w:r>
          </w:p>
        </w:tc>
        <w:tc>
          <w:tcPr>
            <w:tcW w:type="dxa" w:w="27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9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</w:t>
            </w:r>
          </w:p>
        </w:tc>
        <w:tc>
          <w:tcPr>
            <w:tcW w:type="dxa" w:w="2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37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0.33</w:t>
            </w:r>
          </w:p>
        </w:tc>
        <w:tc>
          <w:tcPr>
            <w:tcW w:type="dxa" w:w="1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41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4220" w:type="dxa"/>
        <w:gridCol w:w="3260" w:type="dxa"/>
        <w:gridCol w:w="1780" w:type="dxa"/>
      </w:tblGrid>
      <w:tr>
        <w:trPr>
          <w:trHeight w:hRule="exact" w:val="230"/>
        </w:trPr>
        <w:tc>
          <w:tcPr>
            <w:tcW w:type="dxa" w:w="4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26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8413</w:t>
            </w:r>
          </w:p>
        </w:tc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40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-0.3</w:t>
            </w:r>
          </w:p>
        </w:tc>
        <w:tc>
          <w:tcPr>
            <w:tcW w:type="dxa" w:w="1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41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0.58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200" w:type="dxa"/>
        <w:gridCol w:w="3220" w:type="dxa"/>
        <w:gridCol w:w="3840" w:type="dxa"/>
      </w:tblGrid>
      <w:tr>
        <w:trPr>
          <w:trHeight w:hRule="exact" w:val="230"/>
        </w:trPr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58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8414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590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</w:t>
            </w:r>
          </w:p>
        </w:tc>
        <w:tc>
          <w:tcPr>
            <w:tcW w:type="dxa" w:w="3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40" w:type="dxa"/>
        <w:gridCol w:w="3260" w:type="dxa"/>
        <w:gridCol w:w="3460" w:type="dxa"/>
      </w:tblGrid>
      <w:tr>
        <w:trPr>
          <w:trHeight w:hRule="exact" w:val="230"/>
        </w:trPr>
        <w:tc>
          <w:tcPr>
            <w:tcW w:type="dxa" w:w="2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8415</w:t>
            </w:r>
          </w:p>
        </w:tc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0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3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0.28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540" w:type="dxa"/>
        <w:gridCol w:w="3260" w:type="dxa"/>
        <w:gridCol w:w="3460" w:type="dxa"/>
      </w:tblGrid>
      <w:tr>
        <w:trPr>
          <w:trHeight w:hRule="exact" w:val="230"/>
        </w:trPr>
        <w:tc>
          <w:tcPr>
            <w:tcW w:type="dxa" w:w="2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9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8416</w:t>
            </w:r>
          </w:p>
        </w:tc>
        <w:tc>
          <w:tcPr>
            <w:tcW w:type="dxa" w:w="3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20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0.67</w:t>
            </w:r>
          </w:p>
        </w:tc>
        <w:tc>
          <w:tcPr>
            <w:tcW w:type="dxa" w:w="3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3540" w:type="dxa"/>
        <w:gridCol w:w="3220" w:type="dxa"/>
        <w:gridCol w:w="2500" w:type="dxa"/>
      </w:tblGrid>
      <w:tr>
        <w:trPr>
          <w:trHeight w:hRule="exact" w:val="228"/>
        </w:trPr>
        <w:tc>
          <w:tcPr>
            <w:tcW w:type="dxa" w:w="3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92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ME 8417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09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</w:t>
            </w:r>
          </w:p>
        </w:tc>
        <w:tc>
          <w:tcPr>
            <w:tcW w:type="dxa" w:w="2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0.32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720" w:type="dxa"/>
        <w:gridCol w:w="1520" w:type="dxa"/>
        <w:gridCol w:w="2900" w:type="dxa"/>
        <w:gridCol w:w="3120" w:type="dxa"/>
      </w:tblGrid>
      <w:tr>
        <w:trPr>
          <w:trHeight w:hRule="exact" w:val="230"/>
        </w:trPr>
        <w:tc>
          <w:tcPr>
            <w:tcW w:type="dxa" w:w="1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0" w:lineRule="exact" w:before="60" w:after="0"/>
              <w:ind w:left="0" w:right="3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GPA</w:t>
            </w:r>
          </w:p>
        </w:tc>
        <w:tc>
          <w:tcPr>
            <w:tcW w:type="dxa" w:w="1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94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</w:t>
            </w:r>
          </w:p>
        </w:tc>
        <w:tc>
          <w:tcPr>
            <w:tcW w:type="dxa" w:w="29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7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2" w:after="0"/>
              <w:ind w:left="0" w:right="110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-0.04</w:t>
            </w:r>
          </w:p>
        </w:tc>
      </w:tr>
    </w:tbl>
    <w:p>
      <w:pPr>
        <w:autoSpaceDN w:val="0"/>
        <w:autoSpaceDE w:val="0"/>
        <w:widowControl/>
        <w:spacing w:line="224" w:lineRule="exact" w:before="19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>4.12.2</w:t>
      </w: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 xml:space="preserve"> </w:t>
      </w: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>Course-specific loadings</w:t>
      </w:r>
    </w:p>
    <w:p>
      <w:pPr>
        <w:autoSpaceDN w:val="0"/>
        <w:autoSpaceDE w:val="0"/>
        <w:widowControl/>
        <w:spacing w:line="17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16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5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shows that CS 8406 contributes to Factors 1 (0.3) and 4 (0.40) with moderate</w:t>
      </w:r>
    </w:p>
    <w:p>
      <w:pPr>
        <w:autoSpaceDN w:val="0"/>
        <w:autoSpaceDE w:val="0"/>
        <w:widowControl/>
        <w:spacing w:line="290" w:lineRule="exact" w:before="6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uniqueness (0.60), indicating its influence on general academic trends. ME 8401 exhibits</w:t>
      </w:r>
    </w:p>
    <w:p>
      <w:pPr>
        <w:autoSpaceDN w:val="0"/>
        <w:autoSpaceDE w:val="0"/>
        <w:widowControl/>
        <w:spacing w:line="190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 high loading on Factor 1 (0.5) and a low uniqueness (0.31), suggesting that it aligns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closely with the primary latent construct representing overall performance. ME 8411</w:t>
      </w:r>
    </w:p>
    <w:p>
      <w:pPr>
        <w:autoSpaceDN w:val="0"/>
        <w:autoSpaceDE w:val="0"/>
        <w:widowControl/>
        <w:spacing w:line="190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exhibits an extreme loading on Factor 1 (0.9) with minimal uniqueness (0.17), making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 a critical variable in explaining general academic success. ME 8403 strongly loads on</w:t>
      </w:r>
    </w:p>
    <w:p>
      <w:pPr>
        <w:autoSpaceDN w:val="0"/>
        <w:autoSpaceDE w:val="0"/>
        <w:widowControl/>
        <w:spacing w:line="190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Factor 4 (0.8), while ME 8410 has the highest loading on Factor 5 (1.0), indicating that</w:t>
      </w:r>
    </w:p>
    <w:p>
      <w:pPr>
        <w:autoSpaceDN w:val="0"/>
        <w:autoSpaceDE w:val="0"/>
        <w:widowControl/>
        <w:spacing w:line="290" w:lineRule="exact" w:before="4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these courses are significant contributors to their respective factors.</w:t>
      </w:r>
    </w:p>
    <w:p>
      <w:pPr>
        <w:autoSpaceDN w:val="0"/>
        <w:autoSpaceDE w:val="0"/>
        <w:widowControl/>
        <w:spacing w:line="132" w:lineRule="exact" w:before="332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i/>
          <w:color w:val="000000"/>
          <w:sz w:val="18"/>
        </w:rPr>
        <w:t>4.12.3 Other notable variables</w:t>
      </w:r>
    </w:p>
    <w:p>
      <w:pPr>
        <w:autoSpaceDN w:val="0"/>
        <w:autoSpaceDE w:val="0"/>
        <w:widowControl/>
        <w:spacing w:line="186" w:lineRule="exact" w:before="1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ME 8406 and ME 8409 loads onto Factor 2 with moderate values (0.6 and 0.4, respec­</w:t>
      </w:r>
    </w:p>
    <w:p>
      <w:pPr>
        <w:autoSpaceDN w:val="0"/>
        <w:autoSpaceDE w:val="0"/>
        <w:widowControl/>
        <w:spacing w:line="190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tively). ME 8417 is highly associated with Factor 6 (</w:t>
      </w:r>
      <w:r>
        <w:rPr>
          <w:spacing w:val="-10"/>
          <w:w w:val="98.00000190734863"/>
          <w:rFonts w:ascii="WarnockPro" w:hAnsi="WarnockPro" w:eastAsia="WarnockPro"/>
          <w:i/>
          <w:color w:val="000000"/>
          <w:sz w:val="20"/>
        </w:rPr>
        <w:t>r</w:t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=0.8) and exhibits low uniqueness</w:t>
      </w:r>
    </w:p>
    <w:p>
      <w:pPr>
        <w:autoSpaceDN w:val="0"/>
        <w:autoSpaceDE w:val="0"/>
        <w:widowControl/>
        <w:spacing w:line="200" w:lineRule="exact" w:before="8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(r² = 0.32). Negative loadings are observed for ME 8408 (-0.4 on Factor 3) and ME 8413</w:t>
      </w:r>
    </w:p>
    <w:p>
      <w:pPr>
        <w:autoSpaceDN w:val="0"/>
        <w:autoSpaceDE w:val="0"/>
        <w:widowControl/>
        <w:spacing w:line="190" w:lineRule="exact" w:before="92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(-0.3 on Factor 8), indicating inverse relationships with these latent constructs.</w:t>
      </w:r>
    </w:p>
    <w:p>
      <w:pPr>
        <w:autoSpaceDN w:val="0"/>
        <w:autoSpaceDE w:val="0"/>
        <w:widowControl/>
        <w:spacing w:line="166" w:lineRule="exact" w:before="38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4.13 Uniqueness values</w:t>
      </w:r>
    </w:p>
    <w:p>
      <w:pPr>
        <w:autoSpaceDN w:val="0"/>
        <w:autoSpaceDE w:val="0"/>
        <w:widowControl/>
        <w:spacing w:line="290" w:lineRule="exact" w:before="6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High uniqueness values for specific courses, such as ME 8404 (0.78) and ME 8402 (0.55),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suggest that a substantial portion of their variance is not accounted for by the common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latent factors. This suggests that these courses may be shaped by unique instructional</w:t>
      </w:r>
    </w:p>
    <w:p>
      <w:pPr>
        <w:autoSpaceDN w:val="0"/>
        <w:autoSpaceDE w:val="0"/>
        <w:widowControl/>
        <w:spacing w:line="182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approaches, specialised content, or assessment methods not shared with other courses.</w:t>
      </w:r>
    </w:p>
    <w:p>
      <w:pPr>
        <w:autoSpaceDN w:val="0"/>
        <w:autoSpaceDE w:val="0"/>
        <w:widowControl/>
        <w:spacing w:line="290" w:lineRule="exact" w:before="5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As noted by Abdi and Williams [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uniqueness reflects variable-specific variance that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remains unexplained by the factor model, implying that such variables may not align</w:t>
      </w:r>
    </w:p>
    <w:p>
      <w:pPr>
        <w:autoSpaceDN w:val="0"/>
        <w:autoSpaceDE w:val="0"/>
        <w:widowControl/>
        <w:spacing w:line="290" w:lineRule="exact" w:before="50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well with the general performance structure identified through factor analysis.</w:t>
      </w:r>
    </w:p>
    <w:p>
      <w:pPr>
        <w:sectPr>
          <w:pgSz w:w="11906" w:h="15874"/>
          <w:pgMar w:top="240" w:right="240" w:bottom="206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3496310</wp:posOffset>
            </wp:positionH>
            <wp:positionV relativeFrom="page">
              <wp:posOffset>6511290</wp:posOffset>
            </wp:positionV>
            <wp:extent cx="635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6511290</wp:posOffset>
            </wp:positionV>
            <wp:extent cx="116586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2659380</wp:posOffset>
            </wp:positionH>
            <wp:positionV relativeFrom="page">
              <wp:posOffset>6511290</wp:posOffset>
            </wp:positionV>
            <wp:extent cx="83693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4131310</wp:posOffset>
            </wp:positionH>
            <wp:positionV relativeFrom="page">
              <wp:posOffset>6511290</wp:posOffset>
            </wp:positionV>
            <wp:extent cx="125476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5386070</wp:posOffset>
            </wp:positionH>
            <wp:positionV relativeFrom="page">
              <wp:posOffset>6362700</wp:posOffset>
            </wp:positionV>
            <wp:extent cx="6794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5386070</wp:posOffset>
            </wp:positionH>
            <wp:positionV relativeFrom="page">
              <wp:posOffset>6511290</wp:posOffset>
            </wp:positionV>
            <wp:extent cx="67945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9326880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14 of 18</w:t>
            </w:r>
          </w:p>
        </w:tc>
      </w:tr>
    </w:tbl>
    <w:p>
      <w:pPr>
        <w:autoSpaceDN w:val="0"/>
        <w:autoSpaceDE w:val="0"/>
        <w:widowControl/>
        <w:spacing w:line="126" w:lineRule="exact" w:before="78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4.14 Latent structure</w:t>
      </w:r>
    </w:p>
    <w:p>
      <w:pPr>
        <w:autoSpaceDN w:val="0"/>
        <w:autoSpaceDE w:val="0"/>
        <w:widowControl/>
        <w:spacing w:line="186" w:lineRule="exact" w:before="142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Factor 1 appears to represent general academic performance, as it exhibits strong asso­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ciations with several key variables, including GPA, CS 8406, ME 8401, and ME 8411,</w:t>
      </w:r>
    </w:p>
    <w:p>
      <w:pPr>
        <w:autoSpaceDN w:val="0"/>
        <w:autoSpaceDE w:val="0"/>
        <w:widowControl/>
        <w:spacing w:line="282" w:lineRule="exact" w:before="58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suggesting a broad, underlying competency that influences overall achievement. In con­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trast, Factors 4 and 5 seem to capture more specialised or course-specific trends, with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ME 8403 and ME 8410 contributing heavily to each respective factor. The use of oblimin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rotation was appropriate for this analysis, as it allows for factors to be correlated, reflect­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the real-world nature of educational performance, where skills and knowledge areas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often overlap. According to Jolliffe and Cadima [</w:t>
      </w:r>
      <w:hyperlink r:id="rId7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such rotation methods are essential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when interpreting data from domains like education, where orthogonality (i.e., complete</w:t>
      </w:r>
    </w:p>
    <w:p>
      <w:pPr>
        <w:autoSpaceDN w:val="0"/>
        <w:autoSpaceDE w:val="0"/>
        <w:widowControl/>
        <w:spacing w:line="190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independence between components) is unrealistic and may mask meaningful relation­</w:t>
      </w:r>
    </w:p>
    <w:p>
      <w:pPr>
        <w:autoSpaceDN w:val="0"/>
        <w:autoSpaceDE w:val="0"/>
        <w:widowControl/>
        <w:spacing w:line="184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ships between latent traits.</w:t>
      </w:r>
    </w:p>
    <w:p>
      <w:pPr>
        <w:autoSpaceDN w:val="0"/>
        <w:autoSpaceDE w:val="0"/>
        <w:widowControl/>
        <w:spacing w:line="174" w:lineRule="exact" w:before="38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4.15 E</w:t>
      </w:r>
      <w:hyperlink r:id="rId122" w:history="1">
        <w:r>
          <w:rPr>
            <w:rStyle w:val="Hyperlink"/>
            <w:rFonts w:ascii="MyriadPro" w:hAnsi="MyriadPro" w:eastAsia="MyriadPro" w:cs="MyriadPro"/>
            <w:sz w:val="18.399999618530273"/>
            <w:b/>
            <w:color w:val="000000"/>
            <w:w w:val="102.22222010294597"/>
            <w:spacing w:val="-10"/>
          </w:rPr>
          <w:t>i</w:t>
        </w:r>
      </w:hyperlink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genvalue analysis for principal component extraction and variance assessment</w:t>
      </w:r>
    </w:p>
    <w:p>
      <w:pPr>
        <w:autoSpaceDN w:val="0"/>
        <w:autoSpaceDE w:val="0"/>
        <w:widowControl/>
        <w:spacing w:line="190" w:lineRule="exact" w:before="10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Table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22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6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 details the eigenvalues derived from Principal Component Analysis (PCA), high­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lighting how variance is distributed across components and guiding the dimensional­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ity reduction process. Component 1, with an eigenvalue of 5.78, explains 30.40% of the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total variance, capturing the most dominant pattern in student performance. Compo­</w:t>
      </w:r>
    </w:p>
    <w:p>
      <w:pPr>
        <w:autoSpaceDN w:val="0"/>
        <w:autoSpaceDE w:val="0"/>
        <w:widowControl/>
        <w:spacing w:line="188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nent 2, with an eigenvalue of 1.61, contributes an additional 8.49%, bringing the cumu­</w:t>
      </w:r>
    </w:p>
    <w:p>
      <w:pPr>
        <w:autoSpaceDN w:val="0"/>
        <w:autoSpaceDE w:val="0"/>
        <w:widowControl/>
        <w:spacing w:line="186" w:lineRule="exact" w:before="96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lative explained variance to 38.90%, following the Kaiser criterion, which recommends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retaining factors with eigenvalues greater than 1 [</w:t>
      </w:r>
      <w:hyperlink r:id="rId109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13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the first five components are con­</w:t>
      </w:r>
    </w:p>
    <w:p>
      <w:pPr>
        <w:autoSpaceDN w:val="0"/>
        <w:autoSpaceDE w:val="0"/>
        <w:widowControl/>
        <w:spacing w:line="292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sidered significant. Indeed, Component 3 adds 6.97%, Component 4 contributes 6.47%,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Component 5 yields 5.86%, together elevating the cumulative variance explained to</w:t>
      </w:r>
    </w:p>
    <w:p>
      <w:pPr>
        <w:autoSpaceDN w:val="0"/>
        <w:autoSpaceDE w:val="0"/>
        <w:widowControl/>
        <w:spacing w:line="282" w:lineRule="exact" w:before="58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58.20%. Components beyond the fifth have eigenvalues below 1 and thus are deemed less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informative, typically capturing noise or minor patterns. The scree (elbow) plot further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justifies this selection, showing a clear inflexion point past Component 5 where eigen­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values begin to plateau [</w:t>
      </w:r>
      <w:hyperlink r:id="rId115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], indicating diminishing returns. As Jolliffe (2002) emphasises,</w:t>
      </w:r>
    </w:p>
    <w:p>
      <w:pPr>
        <w:autoSpaceDN w:val="0"/>
        <w:autoSpaceDE w:val="0"/>
        <w:widowControl/>
        <w:spacing w:line="186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retaining components that balance explained variance with interpretability enhances</w:t>
      </w:r>
    </w:p>
    <w:p>
      <w:pPr>
        <w:autoSpaceDN w:val="0"/>
        <w:autoSpaceDE w:val="0"/>
        <w:widowControl/>
        <w:spacing w:line="166" w:lineRule="exact" w:before="334" w:after="4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8"/>
          <w:u w:val="single"/>
        </w:rPr>
        <w:t>Table 6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 xml:space="preserve"> Component nu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mber, eigenvalue and variance ex</w:t>
      </w:r>
      <w:r>
        <w:rPr>
          <w:spacing w:val="-10"/>
          <w:rFonts w:ascii="MyriadPro" w:hAnsi="MyriadPro" w:eastAsia="MyriadPro"/>
          <w:color w:val="000000"/>
          <w:sz w:val="18"/>
          <w:u w:val="single"/>
        </w:rPr>
        <w:t>plained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400" w:type="dxa"/>
        <w:gridCol w:w="2040" w:type="dxa"/>
        <w:gridCol w:w="2220" w:type="dxa"/>
        <w:gridCol w:w="2600" w:type="dxa"/>
      </w:tblGrid>
      <w:tr>
        <w:trPr>
          <w:trHeight w:hRule="exact" w:val="236"/>
        </w:trPr>
        <w:tc>
          <w:tcPr>
            <w:tcW w:type="dxa" w:w="2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6" w:after="0"/>
              <w:ind w:left="0" w:right="506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Component</w:t>
            </w:r>
          </w:p>
        </w:tc>
        <w:tc>
          <w:tcPr>
            <w:tcW w:type="dxa" w:w="20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6" w:lineRule="exact" w:before="42" w:after="0"/>
              <w:ind w:left="50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Eigenvalue</w:t>
            </w:r>
          </w:p>
        </w:tc>
        <w:tc>
          <w:tcPr>
            <w:tcW w:type="dxa" w:w="2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8" w:lineRule="exact" w:before="40" w:after="0"/>
              <w:ind w:left="0" w:right="508" w:firstLine="0"/>
              <w:jc w:val="righ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% of variance</w:t>
            </w:r>
          </w:p>
        </w:tc>
        <w:tc>
          <w:tcPr>
            <w:tcW w:type="dxa" w:w="2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6" w:lineRule="exact" w:before="42" w:after="0"/>
              <w:ind w:left="542" w:right="0" w:firstLine="0"/>
              <w:jc w:val="left"/>
            </w:pPr>
            <w:r>
              <w:rPr>
                <w:spacing w:val="-10"/>
                <w:rFonts w:ascii="MyriadPro" w:hAnsi="MyriadPro" w:eastAsia="MyriadPro"/>
                <w:b/>
                <w:color w:val="000000"/>
                <w:sz w:val="16"/>
              </w:rPr>
              <w:t>Cumulative %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080" w:type="dxa"/>
      </w:tblGrid>
      <w:tr>
        <w:trPr>
          <w:trHeight w:hRule="exact" w:val="214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48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48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5.78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48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30.4</w:t>
            </w:r>
          </w:p>
        </w:tc>
        <w:tc>
          <w:tcPr>
            <w:tcW w:type="dxa" w:w="3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48" w:after="0"/>
              <w:ind w:left="0" w:right="145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30.4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08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2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1.61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8.49</w:t>
            </w:r>
          </w:p>
        </w:tc>
        <w:tc>
          <w:tcPr>
            <w:tcW w:type="dxa" w:w="3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45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38.9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1.33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6.97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45.87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120" w:type="dxa"/>
      </w:tblGrid>
      <w:tr>
        <w:trPr>
          <w:trHeight w:hRule="exact" w:val="226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4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1.23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6.47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52.34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08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1.11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5.86</w:t>
            </w:r>
          </w:p>
        </w:tc>
        <w:tc>
          <w:tcPr>
            <w:tcW w:type="dxa" w:w="3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45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58.2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0.99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5.21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63.41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20" w:type="dxa"/>
        <w:gridCol w:w="2200" w:type="dxa"/>
        <w:gridCol w:w="312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4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0.9</w:t>
            </w:r>
          </w:p>
        </w:tc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4.72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68.13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0.82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4.33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72.47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20" w:type="dxa"/>
        <w:gridCol w:w="166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7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</w:t>
            </w:r>
          </w:p>
        </w:tc>
        <w:tc>
          <w:tcPr>
            <w:tcW w:type="dxa" w:w="1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0.79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4.16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76.63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20" w:type="dxa"/>
        <w:gridCol w:w="316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10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0.72</w:t>
            </w:r>
          </w:p>
        </w:tc>
        <w:tc>
          <w:tcPr>
            <w:tcW w:type="dxa" w:w="2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3.8</w:t>
            </w:r>
          </w:p>
        </w:tc>
        <w:tc>
          <w:tcPr>
            <w:tcW w:type="dxa" w:w="3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80.43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11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0.67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3.52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83.95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02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12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0.58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3.05</w:t>
            </w:r>
          </w:p>
        </w:tc>
        <w:tc>
          <w:tcPr>
            <w:tcW w:type="dxa" w:w="3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50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20" w:type="dxa"/>
        <w:gridCol w:w="316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13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0.53</w:t>
            </w:r>
          </w:p>
        </w:tc>
        <w:tc>
          <w:tcPr>
            <w:tcW w:type="dxa" w:w="2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2.8</w:t>
            </w:r>
          </w:p>
        </w:tc>
        <w:tc>
          <w:tcPr>
            <w:tcW w:type="dxa" w:w="3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89.79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580" w:type="dxa"/>
        <w:gridCol w:w="2200" w:type="dxa"/>
        <w:gridCol w:w="3080" w:type="dxa"/>
      </w:tblGrid>
      <w:tr>
        <w:trPr>
          <w:trHeight w:hRule="exact" w:val="226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14</w:t>
            </w:r>
          </w:p>
        </w:tc>
        <w:tc>
          <w:tcPr>
            <w:tcW w:type="dxa" w:w="1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54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0.5</w:t>
            </w:r>
          </w:p>
        </w:tc>
        <w:tc>
          <w:tcPr>
            <w:tcW w:type="dxa" w:w="2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2.61</w:t>
            </w:r>
          </w:p>
        </w:tc>
        <w:tc>
          <w:tcPr>
            <w:tcW w:type="dxa" w:w="3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1456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92.4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15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0.42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2.23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94.63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12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16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0.38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2.01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96.64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120" w:type="dxa"/>
      </w:tblGrid>
      <w:tr>
        <w:trPr>
          <w:trHeight w:hRule="exact" w:val="226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17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0.34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4" w:lineRule="exact" w:before="62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1.77</w:t>
            </w:r>
          </w:p>
        </w:tc>
        <w:tc>
          <w:tcPr>
            <w:tcW w:type="dxa" w:w="3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98.41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20" w:type="dxa"/>
        <w:gridCol w:w="3160" w:type="dxa"/>
      </w:tblGrid>
      <w:tr>
        <w:trPr>
          <w:trHeight w:hRule="exact" w:val="228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18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0.27</w:t>
            </w:r>
          </w:p>
        </w:tc>
        <w:tc>
          <w:tcPr>
            <w:tcW w:type="dxa" w:w="2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6" w:lineRule="exact" w:before="62" w:after="0"/>
              <w:ind w:left="0" w:right="139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1.4</w:t>
            </w:r>
          </w:p>
        </w:tc>
        <w:tc>
          <w:tcPr>
            <w:tcW w:type="dxa" w:w="3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99.81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2060" w:type="dxa"/>
        <w:gridCol w:w="1620" w:type="dxa"/>
        <w:gridCol w:w="2160" w:type="dxa"/>
        <w:gridCol w:w="3060" w:type="dxa"/>
      </w:tblGrid>
      <w:tr>
        <w:trPr>
          <w:trHeight w:hRule="exact" w:val="176"/>
        </w:trPr>
        <w:tc>
          <w:tcPr>
            <w:tcW w:type="dxa" w:w="2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83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19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510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0.04</w:t>
            </w:r>
          </w:p>
        </w:tc>
        <w:tc>
          <w:tcPr>
            <w:tcW w:type="dxa" w:w="2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352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0.19</w:t>
            </w:r>
          </w:p>
        </w:tc>
        <w:tc>
          <w:tcPr>
            <w:tcW w:type="dxa" w:w="3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08" w:lineRule="exact" w:before="60" w:after="0"/>
              <w:ind w:left="0" w:right="1464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100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5874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2635250</wp:posOffset>
            </wp:positionH>
            <wp:positionV relativeFrom="page">
              <wp:posOffset>1060450</wp:posOffset>
            </wp:positionV>
            <wp:extent cx="2286000" cy="23812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812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15 of 18</w:t>
            </w:r>
          </w:p>
        </w:tc>
      </w:tr>
    </w:tbl>
    <w:p>
      <w:pPr>
        <w:autoSpaceDN w:val="0"/>
        <w:autoSpaceDE w:val="0"/>
        <w:widowControl/>
        <w:spacing w:line="146" w:lineRule="exact" w:before="475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6"/>
        </w:rPr>
        <w:t>Fig. 4</w:t>
      </w:r>
      <w:r>
        <w:rPr>
          <w:spacing w:val="-10"/>
          <w:rFonts w:ascii="MyriadPro" w:hAnsi="MyriadPro" w:eastAsia="MyriadPro"/>
          <w:color w:val="000000"/>
          <w:sz w:val="16"/>
        </w:rPr>
        <w:t xml:space="preserve"> The PCA variables plot</w:t>
      </w:r>
    </w:p>
    <w:p>
      <w:pPr>
        <w:autoSpaceDN w:val="0"/>
        <w:autoSpaceDE w:val="0"/>
        <w:widowControl/>
        <w:spacing w:line="282" w:lineRule="exact" w:before="118" w:after="0"/>
        <w:ind w:left="2112" w:right="2016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analytical clarity and robustness of PCA, ensuring that essential information is pre­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served while reducing redundancy.</w:t>
      </w:r>
    </w:p>
    <w:p>
      <w:pPr>
        <w:autoSpaceDN w:val="0"/>
        <w:autoSpaceDE w:val="0"/>
        <w:widowControl/>
        <w:spacing w:line="172" w:lineRule="exact" w:before="386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4.16 Patterns of course contributions and interdependencies revealed by PCA</w:t>
      </w:r>
    </w:p>
    <w:p>
      <w:pPr>
        <w:autoSpaceDN w:val="0"/>
        <w:autoSpaceDE w:val="0"/>
        <w:widowControl/>
        <w:spacing w:line="134" w:lineRule="exact" w:before="112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visualization</w:t>
      </w:r>
    </w:p>
    <w:p>
      <w:pPr>
        <w:autoSpaceDN w:val="0"/>
        <w:autoSpaceDE w:val="0"/>
        <w:widowControl/>
        <w:spacing w:line="290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PCA variables plot (Fig.</w:t>
      </w:r>
      <w:r>
        <w:rPr>
          <w:spacing w:val="-10"/>
          <w:w w:val="98.00000190734863"/>
          <w:rFonts w:ascii="WarnockPro" w:hAnsi="WarnockPro" w:eastAsia="WarnockPro"/>
          <w:color w:val="0000FF"/>
          <w:sz w:val="20"/>
        </w:rPr>
        <w:t xml:space="preserve"> </w:t>
      </w:r>
      <w:hyperlink r:id="rId128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4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) illustrates the contributions and interrelationships</w:t>
      </w:r>
    </w:p>
    <w:p>
      <w:pPr>
        <w:autoSpaceDN w:val="0"/>
        <w:autoSpaceDE w:val="0"/>
        <w:widowControl/>
        <w:spacing w:line="290" w:lineRule="exact" w:before="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among performance indicators with respect to the first two principal components—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Dim1, which explains 30.4%, and Dim2, which accounts for 8.5% of the total variance.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Each variable is represented by an arrow, whose length indicates the magnitude of its</w:t>
      </w:r>
    </w:p>
    <w:p>
      <w:pPr>
        <w:autoSpaceDN w:val="0"/>
        <w:autoSpaceDE w:val="0"/>
        <w:widowControl/>
        <w:spacing w:line="290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contribution, and direction reflects its correlation with the component axes. Courses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such as ME 8414 and ME 8412, with long arrows near the perimeter, are strong contrib­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utors to Dim1, whereas ME 8408 and ME 8403, though less clearly positioned, appear</w:t>
      </w:r>
    </w:p>
    <w:p>
      <w:pPr>
        <w:autoSpaceDN w:val="0"/>
        <w:autoSpaceDE w:val="0"/>
        <w:widowControl/>
        <w:spacing w:line="142" w:lineRule="exact" w:before="96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more associated with Dim2.</w:t>
      </w:r>
    </w:p>
    <w:p>
      <w:pPr>
        <w:autoSpaceDN w:val="0"/>
        <w:autoSpaceDE w:val="0"/>
        <w:widowControl/>
        <w:spacing w:line="290" w:lineRule="exact" w:before="94" w:after="0"/>
        <w:ind w:left="227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circle of correlations, representing a theoretical maximum correlation of 1.0, helps</w:t>
      </w:r>
    </w:p>
    <w:p>
      <w:pPr>
        <w:autoSpaceDN w:val="0"/>
        <w:autoSpaceDE w:val="0"/>
        <w:widowControl/>
        <w:spacing w:line="264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interpret variable strength; those nearer the edge (e.g., ME 8414) show strong alignment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with one or both dimensions. In contrast, variables near the origin (e.g., ME 8405, ME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8417) contribute minimally. Dim1 likely captures a broad academic competence domain,</w:t>
      </w:r>
    </w:p>
    <w:p>
      <w:pPr>
        <w:autoSpaceDN w:val="0"/>
        <w:autoSpaceDE w:val="0"/>
        <w:widowControl/>
        <w:spacing w:line="290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while Dim2 may reflect a secondary, more specialised performance trait. Arrows point­</w:t>
      </w:r>
    </w:p>
    <w:p>
      <w:pPr>
        <w:autoSpaceDN w:val="0"/>
        <w:autoSpaceDE w:val="0"/>
        <w:widowControl/>
        <w:spacing w:line="188" w:lineRule="exact" w:before="4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 in similar directions imply positive correlations, while those in opposite directions</w:t>
      </w:r>
    </w:p>
    <w:p>
      <w:pPr>
        <w:autoSpaceDN w:val="0"/>
        <w:autoSpaceDE w:val="0"/>
        <w:widowControl/>
        <w:spacing w:line="284" w:lineRule="exact" w:before="54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indicate negative correlations among variables. According to Jolliffe and Cadima [</w:t>
      </w:r>
      <w:hyperlink r:id="rId70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12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such biplots are essential for identifying which variables are most influential in defining</w:t>
      </w:r>
    </w:p>
    <w:p>
      <w:pPr>
        <w:autoSpaceDN w:val="0"/>
        <w:autoSpaceDE w:val="0"/>
        <w:widowControl/>
        <w:spacing w:line="270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principal compo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00"/>
            <w:w w:val="98.00000190734863"/>
            <w:spacing w:val="-10"/>
          </w:rPr>
          <w:t>n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ents and how they cluster based on shared variance. Similarly, Abdi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Williams , [</w:t>
      </w:r>
      <w:hyperlink r:id="rId71" w:history="1">
        <w:r>
          <w:rPr>
            <w:rStyle w:val="Hyperlink"/>
            <w:rFonts w:ascii="WarnockPro" w:hAnsi="WarnockPro" w:eastAsia="WarnockPro" w:cs="WarnockPro"/>
            <w:sz w:val="19.600000381469727"/>
            <w:color w:val="0000FF"/>
            <w:w w:val="98.00000190734863"/>
            <w:spacing w:val="-10"/>
          </w:rPr>
          <w:t>1</w:t>
        </w:r>
      </w:hyperlink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] emphasise that PCA visualisations reveal underlying patterns and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dependencies that guide interpretation, supporting the development of more nuanced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academic insights and data-driven curriculum improvements.</w:t>
      </w:r>
    </w:p>
    <w:p>
      <w:pPr>
        <w:autoSpaceDN w:val="0"/>
        <w:autoSpaceDE w:val="0"/>
        <w:widowControl/>
        <w:spacing w:line="174" w:lineRule="exact" w:before="384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4.17 Limitations of the study</w:t>
      </w:r>
    </w:p>
    <w:p>
      <w:pPr>
        <w:autoSpaceDN w:val="0"/>
        <w:autoSpaceDE w:val="0"/>
        <w:widowControl/>
        <w:spacing w:line="284" w:lineRule="exact" w:before="62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This study is subject to several limitations. First, the analysis is based on a single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cohort from one institution (MUST), which limits the generalisability of the find­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ings to other contexts. Second, the study relies solely on quantitative academic perfor­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mance data, without incorporating qualitative insights such as student experiences,</w:t>
      </w:r>
    </w:p>
    <w:p>
      <w:pPr>
        <w:sectPr>
          <w:pgSz w:w="11906" w:h="15874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16 of 18</w:t>
            </w:r>
          </w:p>
        </w:tc>
      </w:tr>
    </w:tbl>
    <w:p>
      <w:pPr>
        <w:autoSpaceDN w:val="0"/>
        <w:autoSpaceDE w:val="0"/>
        <w:widowControl/>
        <w:spacing w:line="282" w:lineRule="exact" w:before="738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teaching practices, or industry feedback that could enrich interpretation. Third, PCA,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as an exploratory method, identifies patterns in performance but does not establish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causality or directly evaluate curriculum effectiveness. Finally, factors such as students’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academic preparedness, learning behaviours, and socio-economic influences were not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included in the dataset, which may also affect academic outcomes.</w:t>
      </w:r>
    </w:p>
    <w:p>
      <w:pPr>
        <w:autoSpaceDN w:val="0"/>
        <w:autoSpaceDE w:val="0"/>
        <w:widowControl/>
        <w:spacing w:line="148" w:lineRule="exact" w:before="316" w:after="0"/>
        <w:ind w:left="2112" w:right="0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5 Conclusion</w:t>
      </w:r>
    </w:p>
    <w:p>
      <w:pPr>
        <w:autoSpaceDN w:val="0"/>
        <w:autoSpaceDE w:val="0"/>
        <w:widowControl/>
        <w:spacing w:line="292" w:lineRule="exact" w:before="94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This study examined patterns of student performance in final-year mechanical engi­</w:t>
      </w:r>
    </w:p>
    <w:p>
      <w:pPr>
        <w:autoSpaceDN w:val="0"/>
        <w:autoSpaceDE w:val="0"/>
        <w:widowControl/>
        <w:spacing w:line="188" w:lineRule="exact" w:before="3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neering courses at Mbeya University of Science and Technology using EA and PCA.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The results indicate that student achievement tends to cluster around technically inten­</w:t>
      </w:r>
    </w:p>
    <w:p>
      <w:pPr>
        <w:autoSpaceDN w:val="0"/>
        <w:autoSpaceDE w:val="0"/>
        <w:widowControl/>
        <w:spacing w:line="272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sive modules, suggesting that these courses play a central role in developing the core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engineering competencies expected of graduates. In particular, ME 8411 (Automation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and Robotics) and ME 8401 (Fluid Power and Control) showed strong associations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with overall academic performance, while courses such as ME 8408 (Industrial Practi­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cal Training III) exhibited weaker relationships with the broader performance structure.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The PCA results further revealed five latent components explaining 58.2% of the total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variance, with the first component alone accounting for 30.4%, indicating a dominant</w:t>
      </w:r>
    </w:p>
    <w:p>
      <w:pPr>
        <w:autoSpaceDN w:val="0"/>
        <w:autoSpaceDE w:val="0"/>
        <w:widowControl/>
        <w:spacing w:line="270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dimension associated with technical engineering skills. High factor loadings for courses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such as ME 8411, ME 8401, and ME 8415 (Computer-Aided Manufacturing) indicate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strong contribution to the underlying academic performance structure, whereas courses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such as ME 8408 and ME 8413 demonstrate limited alignment with the shared variance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structure. From an Outcome-Based Education perspective, these findings suggest that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different courses contribute unevenly to the development and assessment of programme</w:t>
      </w:r>
    </w:p>
    <w:p>
      <w:pPr>
        <w:autoSpaceDN w:val="0"/>
        <w:autoSpaceDE w:val="0"/>
        <w:widowControl/>
        <w:spacing w:line="256" w:lineRule="exact" w:before="0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learning outcomes, particularly in balancing theoretical knowledge, practical training,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and project-based learning. Overall, the results provide an evidence-informed basis</w:t>
      </w:r>
    </w:p>
    <w:p>
      <w:pPr>
        <w:autoSpaceDN w:val="0"/>
        <w:autoSpaceDE w:val="0"/>
        <w:widowControl/>
        <w:spacing w:line="292" w:lineRule="exact" w:before="48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for reflecting on curriculum alignment, strengthening competency development, and</w:t>
      </w:r>
    </w:p>
    <w:p>
      <w:pPr>
        <w:autoSpaceDN w:val="0"/>
        <w:autoSpaceDE w:val="0"/>
        <w:widowControl/>
        <w:spacing w:line="254" w:lineRule="exact" w:before="0" w:after="0"/>
        <w:ind w:left="2112" w:right="2016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improving assessment structures to better support industry-relevant engineering out­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comes in line with Tanzania’s Vision 2025 industrialisation goals.</w:t>
      </w:r>
    </w:p>
    <w:p>
      <w:pPr>
        <w:autoSpaceDN w:val="0"/>
        <w:autoSpaceDE w:val="0"/>
        <w:widowControl/>
        <w:spacing w:line="134" w:lineRule="exact" w:before="388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5.1 Recommendations</w:t>
      </w:r>
    </w:p>
    <w:p>
      <w:pPr>
        <w:autoSpaceDN w:val="0"/>
        <w:autoSpaceDE w:val="0"/>
        <w:widowControl/>
        <w:spacing w:line="282" w:lineRule="exact" w:before="46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To align mechanical engineering education at Mbeya University of Science and Technol­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ogy (MUST) with Tanzania’s Vision 2025 industrial goals, several improvements are rec­</w:t>
      </w:r>
    </w:p>
    <w:p>
      <w:pPr>
        <w:autoSpaceDN w:val="0"/>
        <w:autoSpaceDE w:val="0"/>
        <w:widowControl/>
        <w:spacing w:line="290" w:lineRule="exact" w:before="50" w:after="0"/>
        <w:ind w:left="0" w:right="0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ommended. Curriculum refinement should target low-impact courses such as ME 8408</w:t>
      </w:r>
    </w:p>
    <w:p>
      <w:pPr>
        <w:autoSpaceDN w:val="0"/>
        <w:autoSpaceDE w:val="0"/>
        <w:widowControl/>
        <w:spacing w:line="268" w:lineRule="exact" w:before="0" w:after="0"/>
        <w:ind w:left="2112" w:right="2112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and ME 8407 to better align them with practical, industry-relevant competencies, while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enhanced academic support (e.g., tutorials, peer mentoring, and skill-based assessments)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should be provided for technically intensive modules such as ME 8401 and ME 8411. In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addition, greater attention should be given to student-centred strategies, including aca­</w:t>
      </w:r>
    </w:p>
    <w:p>
      <w:pPr>
        <w:autoSpaceDN w:val="0"/>
        <w:autoSpaceDE w:val="0"/>
        <w:widowControl/>
        <w:spacing w:line="282" w:lineRule="exact" w:before="58" w:after="0"/>
        <w:ind w:left="2016" w:right="2016" w:firstLine="0"/>
        <w:jc w:val="center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demic support programmes, flexible learning pathways, and early identification of stu­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dents with learning difficulties to address variations in preparedness and study habits.</w:t>
      </w:r>
    </w:p>
    <w:p>
      <w:pPr>
        <w:autoSpaceDN w:val="0"/>
        <w:autoSpaceDE w:val="0"/>
        <w:widowControl/>
        <w:spacing w:line="268" w:lineRule="exact" w:before="0" w:after="0"/>
        <w:ind w:left="2112" w:right="2114" w:firstLine="0"/>
        <w:jc w:val="both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Integrating data-driven monitoring approaches (e.g., PCA and EA), strengthening fac­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 xml:space="preserve">ulty capacity in educational analytics, and fostering industry–academic partnerships will 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further support continuous curriculum improvement. Collectively, these measures pro­</w:t>
      </w:r>
      <w:r>
        <w:br/>
      </w: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mote a more balanced, outcome-based engineering education that integrates curriculum</w:t>
      </w:r>
    </w:p>
    <w:p>
      <w:pPr>
        <w:autoSpaceDN w:val="0"/>
        <w:autoSpaceDE w:val="0"/>
        <w:widowControl/>
        <w:spacing w:line="292" w:lineRule="exact" w:before="48" w:after="0"/>
        <w:ind w:left="2112" w:right="0" w:firstLine="0"/>
        <w:jc w:val="left"/>
      </w:pPr>
      <w:r>
        <w:rPr>
          <w:spacing w:val="-10"/>
          <w:w w:val="98.00000190734863"/>
          <w:rFonts w:ascii="WarnockPro" w:hAnsi="WarnockPro" w:eastAsia="WarnockPro"/>
          <w:color w:val="000000"/>
          <w:sz w:val="20"/>
        </w:rPr>
        <w:t>quality, teaching effectiveness, and student success.</w:t>
      </w:r>
    </w:p>
    <w:p>
      <w:pPr>
        <w:sectPr>
          <w:pgSz w:w="11906" w:h="15874"/>
          <w:pgMar w:top="240" w:right="240" w:bottom="17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1393190</wp:posOffset>
            </wp:positionV>
            <wp:extent cx="269367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1541780</wp:posOffset>
            </wp:positionV>
            <wp:extent cx="269367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4187190</wp:posOffset>
            </wp:positionH>
            <wp:positionV relativeFrom="page">
              <wp:posOffset>1393190</wp:posOffset>
            </wp:positionV>
            <wp:extent cx="187833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4187190</wp:posOffset>
            </wp:positionH>
            <wp:positionV relativeFrom="page">
              <wp:posOffset>1541780</wp:posOffset>
            </wp:positionV>
            <wp:extent cx="187833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7833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1493520</wp:posOffset>
            </wp:positionH>
            <wp:positionV relativeFrom="page">
              <wp:posOffset>4210050</wp:posOffset>
            </wp:positionV>
            <wp:extent cx="4572000" cy="507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07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1492250</wp:posOffset>
            </wp:positionH>
            <wp:positionV relativeFrom="page">
              <wp:posOffset>7810500</wp:posOffset>
            </wp:positionV>
            <wp:extent cx="1682750" cy="139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1397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17 of 18</w:t>
            </w:r>
          </w:p>
        </w:tc>
      </w:tr>
    </w:tbl>
    <w:p>
      <w:pPr>
        <w:autoSpaceDN w:val="0"/>
        <w:autoSpaceDE w:val="0"/>
        <w:widowControl/>
        <w:spacing w:line="188" w:lineRule="exact" w:before="780" w:after="0"/>
        <w:ind w:left="2112" w:right="0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6 Appendix</w:t>
      </w:r>
    </w:p>
    <w:p>
      <w:pPr>
        <w:autoSpaceDN w:val="0"/>
        <w:tabs>
          <w:tab w:pos="6354" w:val="left"/>
        </w:tabs>
        <w:autoSpaceDE w:val="0"/>
        <w:widowControl/>
        <w:spacing w:line="116" w:lineRule="exact" w:before="38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6"/>
        </w:rPr>
        <w:t xml:space="preserve">Course code </w:t>
      </w:r>
      <w:r>
        <w:tab/>
      </w:r>
      <w:r>
        <w:rPr>
          <w:spacing w:val="-10"/>
          <w:rFonts w:ascii="MyriadPro" w:hAnsi="MyriadPro" w:eastAsia="MyriadPro"/>
          <w:b/>
          <w:color w:val="000000"/>
          <w:sz w:val="16"/>
        </w:rPr>
        <w:t>Course name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8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CS 8406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Object-Oriented Programming</w:t>
      </w:r>
    </w:p>
    <w:p>
      <w:pPr>
        <w:autoSpaceDN w:val="0"/>
        <w:tabs>
          <w:tab w:pos="6354" w:val="left"/>
        </w:tabs>
        <w:autoSpaceDE w:val="0"/>
        <w:widowControl/>
        <w:spacing w:line="116" w:lineRule="exact" w:before="8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8401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Fluid Power and Control</w:t>
      </w:r>
    </w:p>
    <w:p>
      <w:pPr>
        <w:autoSpaceDN w:val="0"/>
        <w:tabs>
          <w:tab w:pos="6354" w:val="left"/>
        </w:tabs>
        <w:autoSpaceDE w:val="0"/>
        <w:widowControl/>
        <w:spacing w:line="116" w:lineRule="exact" w:before="11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8402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Power Plants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7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8403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Material Handling Design</w:t>
      </w:r>
    </w:p>
    <w:p>
      <w:pPr>
        <w:autoSpaceDN w:val="0"/>
        <w:tabs>
          <w:tab w:pos="6354" w:val="left"/>
        </w:tabs>
        <w:autoSpaceDE w:val="0"/>
        <w:widowControl/>
        <w:spacing w:line="150" w:lineRule="exact" w:before="4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8404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Turbo Machinery</w:t>
      </w:r>
    </w:p>
    <w:p>
      <w:pPr>
        <w:autoSpaceDN w:val="0"/>
        <w:tabs>
          <w:tab w:pos="6354" w:val="left"/>
        </w:tabs>
        <w:autoSpaceDE w:val="0"/>
        <w:widowControl/>
        <w:spacing w:line="146" w:lineRule="exact" w:before="4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8405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Production Engineering</w:t>
      </w:r>
    </w:p>
    <w:p>
      <w:pPr>
        <w:autoSpaceDN w:val="0"/>
        <w:tabs>
          <w:tab w:pos="6354" w:val="left"/>
        </w:tabs>
        <w:autoSpaceDE w:val="0"/>
        <w:widowControl/>
        <w:spacing w:line="150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8406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Refrigeration System</w:t>
      </w:r>
    </w:p>
    <w:p>
      <w:pPr>
        <w:autoSpaceDN w:val="0"/>
        <w:tabs>
          <w:tab w:pos="6354" w:val="left"/>
        </w:tabs>
        <w:autoSpaceDE w:val="0"/>
        <w:widowControl/>
        <w:spacing w:line="144" w:lineRule="exact" w:before="5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8407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Senior Project I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4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8408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Industrial Practical Training III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4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8409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Quality Assurance and Control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4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8410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Engineering Ethics and Professional Conduct</w:t>
      </w:r>
    </w:p>
    <w:p>
      <w:pPr>
        <w:autoSpaceDN w:val="0"/>
        <w:tabs>
          <w:tab w:pos="6354" w:val="left"/>
        </w:tabs>
        <w:autoSpaceDE w:val="0"/>
        <w:widowControl/>
        <w:spacing w:line="116" w:lineRule="exact" w:before="8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8411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Automation and Robotics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7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8412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Engine Design Technology</w:t>
      </w:r>
    </w:p>
    <w:p>
      <w:pPr>
        <w:autoSpaceDN w:val="0"/>
        <w:tabs>
          <w:tab w:pos="6354" w:val="left"/>
        </w:tabs>
        <w:autoSpaceDE w:val="0"/>
        <w:widowControl/>
        <w:spacing w:line="150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8413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Foundry Technology</w:t>
      </w:r>
    </w:p>
    <w:p>
      <w:pPr>
        <w:autoSpaceDN w:val="0"/>
        <w:tabs>
          <w:tab w:pos="6354" w:val="left"/>
        </w:tabs>
        <w:autoSpaceDE w:val="0"/>
        <w:widowControl/>
        <w:spacing w:line="150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8414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Air Conditioning System</w:t>
      </w:r>
    </w:p>
    <w:p>
      <w:pPr>
        <w:autoSpaceDN w:val="0"/>
        <w:tabs>
          <w:tab w:pos="6354" w:val="left"/>
        </w:tabs>
        <w:autoSpaceDE w:val="0"/>
        <w:widowControl/>
        <w:spacing w:line="148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8415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Computer-Aided Manufacturing (CAM)</w:t>
      </w:r>
    </w:p>
    <w:p>
      <w:pPr>
        <w:autoSpaceDN w:val="0"/>
        <w:tabs>
          <w:tab w:pos="6354" w:val="left"/>
        </w:tabs>
        <w:autoSpaceDE w:val="0"/>
        <w:widowControl/>
        <w:spacing w:line="146" w:lineRule="exact" w:before="5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8416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Industrial Supervisor Skill and Leadership</w:t>
      </w:r>
    </w:p>
    <w:p>
      <w:pPr>
        <w:autoSpaceDN w:val="0"/>
        <w:tabs>
          <w:tab w:pos="6354" w:val="left"/>
        </w:tabs>
        <w:autoSpaceDE w:val="0"/>
        <w:widowControl/>
        <w:spacing w:line="144" w:lineRule="exact" w:before="5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6"/>
        </w:rPr>
        <w:t xml:space="preserve">ME 8417 </w:t>
      </w:r>
      <w:r>
        <w:tab/>
      </w:r>
      <w:r>
        <w:rPr>
          <w:spacing w:val="-10"/>
          <w:rFonts w:ascii="MyriadPro" w:hAnsi="MyriadPro" w:eastAsia="MyriadPro"/>
          <w:color w:val="000000"/>
          <w:sz w:val="16"/>
        </w:rPr>
        <w:t>Senior Project II</w:t>
      </w:r>
    </w:p>
    <w:p>
      <w:pPr>
        <w:autoSpaceDN w:val="0"/>
        <w:autoSpaceDE w:val="0"/>
        <w:widowControl/>
        <w:spacing w:line="138" w:lineRule="exact" w:before="13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Acknowledgements</w:t>
      </w:r>
    </w:p>
    <w:p>
      <w:pPr>
        <w:autoSpaceDN w:val="0"/>
        <w:autoSpaceDE w:val="0"/>
        <w:widowControl/>
        <w:spacing w:line="140" w:lineRule="exact" w:before="4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The Author acknowledges the support from the Mbeya University of Science and Technology, particularly the</w:t>
      </w:r>
    </w:p>
    <w:p>
      <w:pPr>
        <w:autoSpaceDN w:val="0"/>
        <w:autoSpaceDE w:val="0"/>
        <w:widowControl/>
        <w:spacing w:line="170" w:lineRule="exact" w:before="1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Department of Mechanical and Industrial Engineering and the Examination Office.</w:t>
      </w:r>
    </w:p>
    <w:p>
      <w:pPr>
        <w:autoSpaceDN w:val="0"/>
        <w:autoSpaceDE w:val="0"/>
        <w:widowControl/>
        <w:spacing w:line="108" w:lineRule="exact" w:before="14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Author contributions</w:t>
      </w:r>
    </w:p>
    <w:p>
      <w:pPr>
        <w:autoSpaceDN w:val="0"/>
        <w:autoSpaceDE w:val="0"/>
        <w:widowControl/>
        <w:spacing w:line="108" w:lineRule="exact" w:before="7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Zacharia Katambara did all the work.</w:t>
      </w:r>
    </w:p>
    <w:p>
      <w:pPr>
        <w:autoSpaceDN w:val="0"/>
        <w:autoSpaceDE w:val="0"/>
        <w:widowControl/>
        <w:spacing w:line="138" w:lineRule="exact" w:before="18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Funding</w:t>
      </w:r>
    </w:p>
    <w:p>
      <w:pPr>
        <w:autoSpaceDN w:val="0"/>
        <w:autoSpaceDE w:val="0"/>
        <w:widowControl/>
        <w:spacing w:line="138" w:lineRule="exact" w:before="4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No Funding.</w:t>
      </w:r>
    </w:p>
    <w:p>
      <w:pPr>
        <w:autoSpaceDN w:val="0"/>
        <w:autoSpaceDE w:val="0"/>
        <w:widowControl/>
        <w:spacing w:line="140" w:lineRule="exact" w:before="15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Data availability</w:t>
      </w:r>
    </w:p>
    <w:p>
      <w:pPr>
        <w:autoSpaceDN w:val="0"/>
        <w:autoSpaceDE w:val="0"/>
        <w:widowControl/>
        <w:spacing w:line="142" w:lineRule="exact" w:before="38" w:after="0"/>
        <w:ind w:left="0" w:right="0" w:firstLine="0"/>
        <w:jc w:val="center"/>
      </w:pPr>
      <w:r>
        <w:rPr>
          <w:spacing w:val="-10"/>
          <w:rFonts w:ascii="MyriadPro" w:hAnsi="MyriadPro" w:eastAsia="MyriadPro"/>
          <w:color w:val="000000"/>
          <w:sz w:val="15"/>
        </w:rPr>
        <w:t>The datasets generated during and/or analysed during the current study are available from the corresponding author on</w:t>
      </w:r>
    </w:p>
    <w:p>
      <w:pPr>
        <w:autoSpaceDN w:val="0"/>
        <w:autoSpaceDE w:val="0"/>
        <w:widowControl/>
        <w:spacing w:line="136" w:lineRule="exact" w:before="4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reasonable request.</w:t>
      </w:r>
    </w:p>
    <w:p>
      <w:pPr>
        <w:autoSpaceDN w:val="0"/>
        <w:autoSpaceDE w:val="0"/>
        <w:widowControl/>
        <w:spacing w:line="132" w:lineRule="exact" w:before="320" w:after="0"/>
        <w:ind w:left="2112" w:right="0" w:firstLine="0"/>
        <w:jc w:val="left"/>
      </w:pPr>
      <w:r>
        <w:rPr>
          <w:spacing w:val="-10"/>
          <w:w w:val="102.22222010294597"/>
          <w:rFonts w:ascii="MyriadPro" w:hAnsi="MyriadPro" w:eastAsia="MyriadPro"/>
          <w:b/>
          <w:color w:val="000000"/>
          <w:sz w:val="18"/>
        </w:rPr>
        <w:t>Declarations</w:t>
      </w:r>
    </w:p>
    <w:p>
      <w:pPr>
        <w:autoSpaceDN w:val="0"/>
        <w:autoSpaceDE w:val="0"/>
        <w:widowControl/>
        <w:spacing w:line="136" w:lineRule="exact" w:before="18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Ethics approval and consent to participate</w:t>
      </w:r>
    </w:p>
    <w:p>
      <w:pPr>
        <w:autoSpaceDN w:val="0"/>
        <w:autoSpaceDE w:val="0"/>
        <w:widowControl/>
        <w:spacing w:line="140" w:lineRule="exact" w:before="44" w:after="0"/>
        <w:ind w:left="0" w:right="0" w:firstLine="0"/>
        <w:jc w:val="center"/>
      </w:pPr>
      <w:r>
        <w:rPr>
          <w:spacing w:val="-10"/>
          <w:rFonts w:ascii="MyriadPro" w:hAnsi="MyriadPro" w:eastAsia="MyriadPro"/>
          <w:color w:val="000000"/>
          <w:sz w:val="15"/>
        </w:rPr>
        <w:t>The Mbeya University of Science and Technology Research Ethical Committee (MUST REC) provided the ethical approval</w:t>
      </w:r>
    </w:p>
    <w:p>
      <w:pPr>
        <w:autoSpaceDN w:val="0"/>
        <w:autoSpaceDE w:val="0"/>
        <w:widowControl/>
        <w:spacing w:line="170" w:lineRule="exact" w:before="1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for the study. The author confirms that all experiments were performed in accordance with relevant guidelines and</w:t>
      </w:r>
    </w:p>
    <w:p>
      <w:pPr>
        <w:autoSpaceDN w:val="0"/>
        <w:autoSpaceDE w:val="0"/>
        <w:widowControl/>
        <w:spacing w:line="140" w:lineRule="exact" w:before="3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regulations. Also, the study adhered to the Helsinki Declaration. In accordance with the approval conditions stipulated</w:t>
      </w:r>
    </w:p>
    <w:p>
      <w:pPr>
        <w:autoSpaceDN w:val="0"/>
        <w:autoSpaceDE w:val="0"/>
        <w:widowControl/>
        <w:spacing w:line="140" w:lineRule="exact" w:before="4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in the Director of Undergraduate Studies’letter, freely given and informed consent was obtained from all participants</w:t>
      </w:r>
    </w:p>
    <w:p>
      <w:pPr>
        <w:autoSpaceDN w:val="0"/>
        <w:autoSpaceDE w:val="0"/>
        <w:widowControl/>
        <w:spacing w:line="140" w:lineRule="exact" w:before="4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prior to data collection. Participants were adequately informed about the purpose of the study, the voluntary nature</w:t>
      </w:r>
    </w:p>
    <w:p>
      <w:pPr>
        <w:autoSpaceDN w:val="0"/>
        <w:autoSpaceDE w:val="0"/>
        <w:widowControl/>
        <w:spacing w:line="170" w:lineRule="exact" w:before="1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of participation, confidentiality safeguards, and their right to withdraw at any stage without any academic or personal</w:t>
      </w:r>
    </w:p>
    <w:p>
      <w:pPr>
        <w:autoSpaceDN w:val="0"/>
        <w:autoSpaceDE w:val="0"/>
        <w:widowControl/>
        <w:spacing w:line="102" w:lineRule="exact" w:before="7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consequences.</w:t>
      </w:r>
    </w:p>
    <w:p>
      <w:pPr>
        <w:autoSpaceDN w:val="0"/>
        <w:autoSpaceDE w:val="0"/>
        <w:widowControl/>
        <w:spacing w:line="138" w:lineRule="exact" w:before="15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Consent for publication</w:t>
      </w:r>
    </w:p>
    <w:p>
      <w:pPr>
        <w:autoSpaceDN w:val="0"/>
        <w:autoSpaceDE w:val="0"/>
        <w:widowControl/>
        <w:spacing w:line="136" w:lineRule="exact" w:before="44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Not Applicable.</w:t>
      </w:r>
    </w:p>
    <w:p>
      <w:pPr>
        <w:autoSpaceDN w:val="0"/>
        <w:autoSpaceDE w:val="0"/>
        <w:widowControl/>
        <w:spacing w:line="136" w:lineRule="exact" w:before="160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Competing interests</w:t>
      </w:r>
    </w:p>
    <w:p>
      <w:pPr>
        <w:autoSpaceDN w:val="0"/>
        <w:autoSpaceDE w:val="0"/>
        <w:widowControl/>
        <w:spacing w:line="138" w:lineRule="exact" w:before="4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The authors declare no competing interests.</w:t>
      </w:r>
    </w:p>
    <w:p>
      <w:pPr>
        <w:autoSpaceDN w:val="0"/>
        <w:autoSpaceDE w:val="0"/>
        <w:widowControl/>
        <w:spacing w:line="140" w:lineRule="exact" w:before="268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Received: 31 December 2025 / Accepted: 13 May 2026</w:t>
      </w:r>
    </w:p>
    <w:p>
      <w:pPr>
        <w:autoSpaceDN w:val="0"/>
        <w:autoSpaceDE w:val="0"/>
        <w:widowControl/>
        <w:spacing w:line="110" w:lineRule="exact" w:before="822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b/>
          <w:color w:val="000000"/>
          <w:sz w:val="15"/>
        </w:rPr>
        <w:t>References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3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1. </w:t>
      </w:r>
      <w:r>
        <w:tab/>
      </w:r>
      <w:hyperlink r:id="rId130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Abdi H, Williams LJ. Princi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pal component analysis. Wiley Interdisciplinary Reviews: Comput Stat. 2010;2(4):433–59.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0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</w:t>
        </w:r>
      </w:hyperlink>
    </w:p>
    <w:p>
      <w:pPr>
        <w:autoSpaceDN w:val="0"/>
        <w:autoSpaceDE w:val="0"/>
        <w:widowControl/>
        <w:spacing w:line="138" w:lineRule="exact" w:before="42" w:after="0"/>
        <w:ind w:left="2412" w:right="0" w:firstLine="0"/>
        <w:jc w:val="left"/>
      </w:pPr>
      <w:hyperlink r:id="rId130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doi.org/10.1002/wics.101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2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Bishop D, Akinyemi A, Maina J. Engineering workforce needs for industrial transformation in Tanzania. J Afr Industrial Dev.</w:t>
      </w:r>
    </w:p>
    <w:p>
      <w:pPr>
        <w:autoSpaceDN w:val="0"/>
        <w:autoSpaceDE w:val="0"/>
        <w:widowControl/>
        <w:spacing w:line="122" w:lineRule="exact" w:before="44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2021;12(3):45–67.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2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Borges VRP, Esteves S, Araújo PDN, de Oliveira LC, Holanda M. (2018). Using Principal Component Analysis to support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hyperlink r:id="rId131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students’performance prediction and data analysis. Proceedings of the Brazilian Symposium on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 Computers in Education.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hyperlink r:id="rId131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https://typeset.io/papers/using-principal-component-analysis-to-support-students-dv35by90kf</w:t>
        </w:r>
      </w:hyperlink>
    </w:p>
    <w:p>
      <w:pPr>
        <w:sectPr>
          <w:pgSz w:w="11906" w:h="15874"/>
          <w:pgMar w:top="240" w:right="240" w:bottom="14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</w:p>
    <w:p>
      <w:pPr>
        <w:autoSpaceDN w:val="0"/>
        <w:autoSpaceDE w:val="0"/>
        <w:widowControl/>
        <w:spacing w:line="220" w:lineRule="exact" w:before="2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40" w:type="dxa"/>
      </w:tblPr>
      <w:tblGrid>
        <w:gridCol w:w="2680" w:type="dxa"/>
        <w:gridCol w:w="3780" w:type="dxa"/>
        <w:gridCol w:w="4060" w:type="dxa"/>
      </w:tblGrid>
      <w:tr>
        <w:trPr>
          <w:trHeight w:hRule="exact" w:val="208"/>
        </w:trPr>
        <w:tc>
          <w:tcPr>
            <w:tcW w:type="dxa" w:w="2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14" w:lineRule="exact" w:before="2" w:after="0"/>
              <w:ind w:left="454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Katambara</w:t>
            </w:r>
            <w:r>
              <w:rPr>
                <w:spacing w:val="-10"/>
                <w:rFonts w:ascii="MyriadPro" w:hAnsi="MyriadPro" w:eastAsia="MyriadPro"/>
                <w:i/>
                <w:color w:val="000000"/>
                <w:sz w:val="16"/>
              </w:rPr>
              <w:t xml:space="preserve"> Discover Education</w:t>
            </w:r>
          </w:p>
        </w:tc>
        <w:tc>
          <w:tcPr>
            <w:tcW w:type="dxa" w:w="3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0" w:lineRule="exact" w:before="4" w:after="0"/>
              <w:ind w:left="258" w:right="0" w:firstLine="0"/>
              <w:jc w:val="lef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(2026) 5:603</w:t>
            </w:r>
          </w:p>
        </w:tc>
        <w:tc>
          <w:tcPr>
            <w:tcW w:type="dxa" w:w="4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8" w:lineRule="exact" w:before="0" w:after="0"/>
              <w:ind w:left="0" w:right="428" w:firstLine="0"/>
              <w:jc w:val="right"/>
            </w:pPr>
            <w:r>
              <w:rPr>
                <w:spacing w:val="-10"/>
                <w:rFonts w:ascii="MyriadPro" w:hAnsi="MyriadPro" w:eastAsia="MyriadPro"/>
                <w:color w:val="000000"/>
                <w:sz w:val="16"/>
              </w:rPr>
              <w:t>Page 18 of 18</w:t>
            </w:r>
          </w:p>
        </w:tc>
      </w:tr>
    </w:tbl>
    <w:p>
      <w:pPr>
        <w:autoSpaceDN w:val="0"/>
        <w:tabs>
          <w:tab w:pos="2412" w:val="left"/>
        </w:tabs>
        <w:autoSpaceDE w:val="0"/>
        <w:widowControl/>
        <w:spacing w:line="140" w:lineRule="exact" w:before="736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4. </w:t>
      </w:r>
      <w:r>
        <w:tab/>
      </w:r>
      <w:hyperlink r:id="rId135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Cattell RB. The s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cree test for the number of factors. Multivar Behav Res. 1966;1(2):245–76.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5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https://doi.org/10.1207/s153279</w:t>
        </w:r>
      </w:hyperlink>
    </w:p>
    <w:p>
      <w:pPr>
        <w:autoSpaceDN w:val="0"/>
        <w:autoSpaceDE w:val="0"/>
        <w:widowControl/>
        <w:spacing w:line="126" w:lineRule="exact" w:before="42" w:after="0"/>
        <w:ind w:left="2412" w:right="0" w:firstLine="0"/>
        <w:jc w:val="left"/>
      </w:pPr>
      <w:hyperlink r:id="rId135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06mbr0102_10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2" w:lineRule="exact" w:before="1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5.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Cohen J. Statistical power analysis for the behavioural sciences. Routledge; 2013.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6.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Etikan I, Musa </w:t>
      </w:r>
      <w:hyperlink r:id="rId136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SA, Alkassim RS. Comparison of convenience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 sampling and purposive sampling. Am J Theoretical Appl Stat.</w:t>
      </w:r>
    </w:p>
    <w:p>
      <w:pPr>
        <w:autoSpaceDN w:val="0"/>
        <w:autoSpaceDE w:val="0"/>
        <w:widowControl/>
        <w:spacing w:line="138" w:lineRule="exact" w:before="42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2016;5(1):1–4.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6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https://doi.org/10.11648/j.ajtas.20160501.11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7.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Field A. Discovering statistics using IBM SPSS statistics. 5th ed. Sage Publications Limited; 2024.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8.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Giovannella C, Scaccia F, Popescu E. (2013). A PCA study of student performance indicators in a W</w:t>
      </w:r>
      <w:hyperlink r:id="rId137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eb 2.0-based learning</w:t>
        </w:r>
      </w:hyperlink>
    </w:p>
    <w:p>
      <w:pPr>
        <w:autoSpaceDN w:val="0"/>
        <w:autoSpaceDE w:val="0"/>
        <w:widowControl/>
        <w:spacing w:line="142" w:lineRule="exact" w:before="38" w:after="0"/>
        <w:ind w:left="2412" w:right="0" w:firstLine="0"/>
        <w:jc w:val="left"/>
      </w:pPr>
      <w:hyperlink r:id="rId137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environment. Proceedings of the International Conference on Advanced L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earning Technologies.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7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https://typeset.io/papers</w:t>
        </w:r>
      </w:hyperlink>
    </w:p>
    <w:p>
      <w:pPr>
        <w:autoSpaceDN w:val="0"/>
        <w:autoSpaceDE w:val="0"/>
        <w:widowControl/>
        <w:spacing w:line="142" w:lineRule="exact" w:before="38" w:after="0"/>
        <w:ind w:left="2412" w:right="0" w:firstLine="0"/>
        <w:jc w:val="left"/>
      </w:pPr>
      <w:hyperlink r:id="rId137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/a-pca-study-of-student-performance-indicators-in-a-web-2-0-16yiao98ze</w:t>
        </w:r>
      </w:hyperlink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9.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Hair JF, Black WC, Babin BJ, Anderson RE. Multivariate Data Analysis. 8th ed. Cengage Learning; 2019.</w:t>
      </w:r>
    </w:p>
    <w:p>
      <w:pPr>
        <w:autoSpaceDN w:val="0"/>
        <w:tabs>
          <w:tab w:pos="2412" w:val="left"/>
        </w:tabs>
        <w:autoSpaceDE w:val="0"/>
        <w:widowControl/>
        <w:spacing w:line="108" w:lineRule="exact" w:before="32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10.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Harden RM. AMEE Guide 14: Outcome-based education: Part 1-An introduction to outcome-based education. Med Teach.</w:t>
      </w:r>
    </w:p>
    <w:p>
      <w:pPr>
        <w:autoSpaceDN w:val="0"/>
        <w:autoSpaceDE w:val="0"/>
        <w:widowControl/>
        <w:spacing w:line="124" w:lineRule="exact" w:before="74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1999;21(1):7–14.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1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11.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Hu S, Gu Y, Jiang H. Teaching qu</w:t>
      </w:r>
      <w:hyperlink r:id="rId138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ality assessment based on principal co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mponent analysis and Elman neural network. Int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Symp Comput Intell Des. 2015.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8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https://doi.org/10.1109/ISCID.2015.270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14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12.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Jolliffe IT, Cadima J. (2016). Principal component analysis: A review and recent developments. P</w:t>
      </w:r>
      <w:hyperlink r:id="rId139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hilosophical Transactions</w:t>
        </w:r>
      </w:hyperlink>
    </w:p>
    <w:p>
      <w:pPr>
        <w:autoSpaceDN w:val="0"/>
        <w:autoSpaceDE w:val="0"/>
        <w:widowControl/>
        <w:spacing w:line="142" w:lineRule="exact" w:before="34" w:after="0"/>
        <w:ind w:left="2412" w:right="0" w:firstLine="0"/>
        <w:jc w:val="left"/>
      </w:pPr>
      <w:hyperlink r:id="rId139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of the Royal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 Society A: Mathematical, Physical and Engineering Sciences, 374(2065), 20150202.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39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https://doi.org/10.1098/rst</w:t>
        </w:r>
      </w:hyperlink>
    </w:p>
    <w:p>
      <w:pPr>
        <w:autoSpaceDN w:val="0"/>
        <w:autoSpaceDE w:val="0"/>
        <w:widowControl/>
        <w:spacing w:line="100" w:lineRule="exact" w:before="48" w:after="0"/>
        <w:ind w:left="2412" w:right="0" w:firstLine="0"/>
        <w:jc w:val="left"/>
      </w:pPr>
      <w:hyperlink r:id="rId139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a.2015.0202</w:t>
        </w:r>
      </w:hyperlink>
    </w:p>
    <w:p>
      <w:pPr>
        <w:autoSpaceDN w:val="0"/>
        <w:tabs>
          <w:tab w:pos="2412" w:val="left"/>
        </w:tabs>
        <w:autoSpaceDE w:val="0"/>
        <w:widowControl/>
        <w:spacing w:line="142" w:lineRule="exact" w:before="28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13. </w:t>
      </w:r>
      <w:r>
        <w:tab/>
      </w:r>
      <w:hyperlink r:id="rId140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Kaiser HF. The application of ele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ctronic computers to factor analysis. Educ Psychol Meas. 1960;20(1):141–51.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0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</w:t>
        </w:r>
      </w:hyperlink>
    </w:p>
    <w:p>
      <w:pPr>
        <w:autoSpaceDN w:val="0"/>
        <w:autoSpaceDE w:val="0"/>
        <w:widowControl/>
        <w:spacing w:line="108" w:lineRule="exact" w:before="44" w:after="0"/>
        <w:ind w:left="2412" w:right="0" w:firstLine="0"/>
        <w:jc w:val="left"/>
      </w:pPr>
      <w:hyperlink r:id="rId140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/10.1177/001316446002000116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2" w:lineRule="exact" w:before="2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14.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Katambara Z. Determinants of Students’Performance in Electrical and Elect</w:t>
      </w:r>
      <w:hyperlink r:id="rId141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ronics Engineering at Mbeya University of Sci­</w:t>
        </w:r>
      </w:hyperlink>
    </w:p>
    <w:p>
      <w:pPr>
        <w:autoSpaceDN w:val="0"/>
        <w:autoSpaceDE w:val="0"/>
        <w:widowControl/>
        <w:spacing w:line="142" w:lineRule="exact" w:before="38" w:after="0"/>
        <w:ind w:left="2412" w:right="0" w:firstLine="0"/>
        <w:jc w:val="left"/>
      </w:pPr>
      <w:hyperlink r:id="rId141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en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ce and Technology, Tanzania. East Afr J Educ Social Sci. 2025;6(1):88–101.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1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https://doi.org/10.46606/eajess2025v06i01.04</w:t>
        </w:r>
      </w:hyperlink>
    </w:p>
    <w:p>
      <w:pPr>
        <w:autoSpaceDN w:val="0"/>
        <w:autoSpaceDE w:val="0"/>
        <w:widowControl/>
        <w:spacing w:line="100" w:lineRule="exact" w:before="48" w:after="0"/>
        <w:ind w:left="2412" w:right="0" w:firstLine="0"/>
        <w:jc w:val="left"/>
      </w:pPr>
      <w:hyperlink r:id="rId141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27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2" w:lineRule="exact" w:before="28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15.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Katambara Z, William M. Assessing Key Performance Factors in Final-Year Civil Engineering Students at Mbe</w:t>
      </w:r>
      <w:hyperlink r:id="rId142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ya University o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f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hyperlink r:id="rId142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Science and Technology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, Tanzania by Using Principal Component Analysis. Creative Educ. 2025;16:253–67.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2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</w:t>
        </w:r>
      </w:hyperlink>
    </w:p>
    <w:p>
      <w:pPr>
        <w:autoSpaceDN w:val="0"/>
        <w:autoSpaceDE w:val="0"/>
        <w:widowControl/>
        <w:spacing w:line="108" w:lineRule="exact" w:before="44" w:after="0"/>
        <w:ind w:left="2412" w:right="0" w:firstLine="0"/>
        <w:jc w:val="left"/>
      </w:pPr>
      <w:hyperlink r:id="rId142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10.4236/ce.2025.163016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2" w:lineRule="exact" w:before="2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16.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Maphosa M, Doorsamy W, Paul BS. Student performance </w:t>
      </w:r>
      <w:hyperlink r:id="rId143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patterns in engineering at the University of Joh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annesburg: An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exploratory data analysis. IEEE Access. 2023;11:48977–88.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3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https://doi.org/10.1109/ACCESS.2023.3277225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14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17.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McDonald RP. Test theory: A unified treatment. Mahwah, NJ: Lawrence Erlbaum Associates; 1999.</w:t>
      </w:r>
    </w:p>
    <w:p>
      <w:pPr>
        <w:autoSpaceDN w:val="0"/>
        <w:tabs>
          <w:tab w:pos="2412" w:val="left"/>
        </w:tabs>
        <w:autoSpaceDE w:val="0"/>
        <w:widowControl/>
        <w:spacing w:line="136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18.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Nunnally JC, Bernstein IH. Psychometric theory. 3rd ed. New York, NY: McGraw-Hill; 1994.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19.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Resnik DB. The ethics of research with human subjects: Protecting people, advancing science, promoting trust. Volume 74.</w:t>
      </w:r>
    </w:p>
    <w:p>
      <w:pPr>
        <w:autoSpaceDN w:val="0"/>
        <w:autoSpaceDE w:val="0"/>
        <w:widowControl/>
        <w:spacing w:line="134" w:lineRule="exact" w:before="46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Springer; 2018.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20.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Roth F, Schneider H, Wendler C. Evalua</w:t>
      </w:r>
      <w:hyperlink r:id="rId144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ting interdisciplinary competencies in engineeri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ng programs: Insights from Europe.</w:t>
      </w:r>
    </w:p>
    <w:p>
      <w:pPr>
        <w:autoSpaceDN w:val="0"/>
        <w:autoSpaceDE w:val="0"/>
        <w:widowControl/>
        <w:spacing w:line="138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J Vocat Educ Train. 2019;71(2):234–50.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4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https://doi.org/10.1080/13636820.2019.1564320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2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21.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Shlens J. (2014). A tutorial on principal component analysis. arXiv preprint arXiv:14041100.</w:t>
      </w:r>
    </w:p>
    <w:p>
      <w:pPr>
        <w:autoSpaceDN w:val="0"/>
        <w:tabs>
          <w:tab w:pos="2412" w:val="left"/>
        </w:tabs>
        <w:autoSpaceDE w:val="0"/>
        <w:widowControl/>
        <w:spacing w:line="114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22.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Sofia G, Hema D. Clustering-based recommendations for enhancing students’academic performance </w:t>
      </w:r>
      <w:hyperlink r:id="rId145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by recognizing</w:t>
        </w:r>
      </w:hyperlink>
    </w:p>
    <w:p>
      <w:pPr>
        <w:autoSpaceDN w:val="0"/>
        <w:autoSpaceDE w:val="0"/>
        <w:widowControl/>
        <w:spacing w:line="140" w:lineRule="exact" w:before="36" w:after="0"/>
        <w:ind w:left="2412" w:right="0" w:firstLine="0"/>
        <w:jc w:val="left"/>
      </w:pPr>
      <w:hyperlink r:id="rId145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prevalent assessmen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t method using exploratory data analysis. Indian J Sci Technol. 2024;17(6):503–13.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5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</w:t>
        </w:r>
      </w:hyperlink>
    </w:p>
    <w:p>
      <w:pPr>
        <w:autoSpaceDN w:val="0"/>
        <w:autoSpaceDE w:val="0"/>
        <w:widowControl/>
        <w:spacing w:line="108" w:lineRule="exact" w:before="44" w:after="0"/>
        <w:ind w:left="2412" w:right="0" w:firstLine="0"/>
        <w:jc w:val="left"/>
      </w:pPr>
      <w:hyperlink r:id="rId145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7485/IJST/v17i6.2175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2" w:lineRule="exact" w:before="24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23.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Spady WG. Outcome-based education: Critical issues and answers. American Association of School Administrators; 1994.</w:t>
      </w:r>
    </w:p>
    <w:p>
      <w:pPr>
        <w:autoSpaceDN w:val="0"/>
        <w:tabs>
          <w:tab w:pos="2412" w:val="left"/>
        </w:tabs>
        <w:autoSpaceDE w:val="0"/>
        <w:widowControl/>
        <w:spacing w:line="114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24.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Streiner DL. Starting at the beginning: An introduction to coefficient alpha and internal consistency. J Pers Assess.</w:t>
      </w:r>
    </w:p>
    <w:p>
      <w:pPr>
        <w:autoSpaceDN w:val="0"/>
        <w:autoSpaceDE w:val="0"/>
        <w:widowControl/>
        <w:spacing w:line="124" w:lineRule="exact" w:before="38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2003;80(1):99–103.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16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25.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Tabachnick BG, Fidell LS. Using multivariate statistics. 6th ed. Pearson Education; 2013.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26.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Tavakol M, Dennick R. Making sense of Cronbach’s alpha. Int J Med Educ. 2011;2:53–5.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27.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Toroka MI, Kafanabo E. (2024), Assessing the relevance of technical education curricula to current industrial skill demands</w:t>
      </w:r>
    </w:p>
    <w:p>
      <w:pPr>
        <w:autoSpaceDN w:val="0"/>
        <w:autoSpaceDE w:val="0"/>
        <w:widowControl/>
        <w:spacing w:line="142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in Tanzania: A case study of civil, electrical, and biomedical engineering curricula. Papers Educ Dev, 42(1).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28.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Twenefour D, Osei S, Arthur E. A principal component analysis approach to students’assessment scores. Int J Educ Dev</w:t>
      </w:r>
    </w:p>
    <w:p>
      <w:pPr>
        <w:autoSpaceDN w:val="0"/>
        <w:autoSpaceDE w:val="0"/>
        <w:widowControl/>
        <w:spacing w:line="140" w:lineRule="exact" w:before="38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using Inform Communication Technol. 2015;11(2):1–11.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29.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United Republic of Tanzania. Tanzania Development Vision 2025: Framework for industrial and economic growth. Dar es</w:t>
      </w:r>
    </w:p>
    <w:p>
      <w:pPr>
        <w:autoSpaceDN w:val="0"/>
        <w:autoSpaceDE w:val="0"/>
        <w:widowControl/>
        <w:spacing w:line="142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Salaam: Ministry of Industry and Trade; 2021.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30.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Walker P. Teaching for quality learning at university. High Educ. 2005;49(4):535–8.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31.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Wang X, Zhou L. En</w:t>
      </w:r>
      <w:hyperlink r:id="rId146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gineering education and innovation as drivers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 of China’s industrial leadership. Int J Eng Stud.</w:t>
      </w:r>
    </w:p>
    <w:p>
      <w:pPr>
        <w:autoSpaceDN w:val="0"/>
        <w:autoSpaceDE w:val="0"/>
        <w:widowControl/>
        <w:spacing w:line="138" w:lineRule="exact" w:before="42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2020;15(4):312–29.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6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https://doi.org/10.1016/j.engstud.2020.02.005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32.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Wismansyah AR, Kadir AR, Baja S, Amar MY. Sustainable vocational education models for industrial re</w:t>
      </w:r>
      <w:hyperlink r:id="rId147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volution role in devel­</w:t>
        </w:r>
      </w:hyperlink>
    </w:p>
    <w:p>
      <w:pPr>
        <w:autoSpaceDN w:val="0"/>
        <w:autoSpaceDE w:val="0"/>
        <w:widowControl/>
        <w:spacing w:line="142" w:lineRule="exact" w:before="38" w:after="0"/>
        <w:ind w:left="2412" w:right="0" w:firstLine="0"/>
        <w:jc w:val="left"/>
      </w:pPr>
      <w:hyperlink r:id="rId147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opment of job m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arket absorption in Tangerang City. Indonesia J Infrastructure Policy Dev. 2024;8(6).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7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https://doi.org/10.242</w:t>
        </w:r>
      </w:hyperlink>
    </w:p>
    <w:p>
      <w:pPr>
        <w:autoSpaceDN w:val="0"/>
        <w:autoSpaceDE w:val="0"/>
        <w:widowControl/>
        <w:spacing w:line="138" w:lineRule="exact" w:before="40" w:after="0"/>
        <w:ind w:left="2412" w:right="0" w:firstLine="0"/>
        <w:jc w:val="left"/>
      </w:pPr>
      <w:hyperlink r:id="rId147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94/jipd.v8i6.3958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40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33.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Yu T. (2014). An exploratory factor analysis and reliability analysis of the Student Online Learning Readiness (SOLR) instru­</w:t>
      </w:r>
    </w:p>
    <w:p>
      <w:pPr>
        <w:autoSpaceDN w:val="0"/>
        <w:autoSpaceDE w:val="0"/>
        <w:widowControl/>
        <w:spacing w:line="140" w:lineRule="exact" w:before="40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ment (Doctoral dissertation, Purdue University). ProQuest Dissertations &amp; Theses Global.</w:t>
      </w:r>
    </w:p>
    <w:p>
      <w:pPr>
        <w:autoSpaceDN w:val="0"/>
        <w:tabs>
          <w:tab w:pos="2412" w:val="left"/>
        </w:tabs>
        <w:autoSpaceDE w:val="0"/>
        <w:widowControl/>
        <w:spacing w:line="114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34.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Yusoff R, Ismail H, Mohamad F. Academia-indust</w:t>
      </w:r>
      <w:hyperlink r:id="rId148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ry collaboration: Strengthening skills dev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elopment for industrial growth in</w:t>
      </w:r>
    </w:p>
    <w:p>
      <w:pPr>
        <w:autoSpaceDN w:val="0"/>
        <w:autoSpaceDE w:val="0"/>
        <w:widowControl/>
        <w:spacing w:line="140" w:lineRule="exact" w:before="36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Malaysia. Asian J Eng Technol. 2018;10(1):14–23.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8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https://doi.org/10.1016/ajet.2018.01.004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tabs>
          <w:tab w:pos="2412" w:val="left"/>
        </w:tabs>
        <w:autoSpaceDE w:val="0"/>
        <w:widowControl/>
        <w:spacing w:line="138" w:lineRule="exact" w:before="0" w:after="0"/>
        <w:ind w:left="21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 xml:space="preserve">35. </w:t>
      </w:r>
      <w:r>
        <w:tab/>
      </w: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Zarate L, Perez R, Cid M. Evaluating engineeri</w:t>
      </w:r>
      <w:hyperlink r:id="rId149" w:history="1">
        <w:r>
          <w:rPr>
            <w:rStyle w:val="Hyperlink"/>
            <w:rFonts w:ascii="MyriadPro" w:hAnsi="MyriadPro" w:eastAsia="MyriadPro" w:cs="MyriadPro"/>
            <w:sz w:val="14.62019157409668"/>
            <w:color w:val="000000"/>
            <w:w w:val="97.4679438273112"/>
            <w:spacing w:val="-10"/>
          </w:rPr>
          <w:t>ng graduate performance: A multivariate appr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oach for curriculum improve­</w:t>
      </w:r>
    </w:p>
    <w:p>
      <w:pPr>
        <w:autoSpaceDN w:val="0"/>
        <w:autoSpaceDE w:val="0"/>
        <w:widowControl/>
        <w:spacing w:line="138" w:lineRule="exact" w:before="42" w:after="0"/>
        <w:ind w:left="2412" w:right="0" w:firstLine="0"/>
        <w:jc w:val="left"/>
      </w:pPr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ment. Int J Educational Dev. 2017;52:105–14.</w:t>
      </w:r>
      <w:r>
        <w:rPr>
          <w:spacing w:val="-10"/>
          <w:w w:val="97.4679438273112"/>
          <w:rFonts w:ascii="MyriadPro" w:hAnsi="MyriadPro" w:eastAsia="MyriadPro"/>
          <w:color w:val="0000FF"/>
          <w:sz w:val="15"/>
        </w:rPr>
        <w:t xml:space="preserve"> </w:t>
      </w:r>
      <w:hyperlink r:id="rId149" w:history="1">
        <w:r>
          <w:rPr>
            <w:rStyle w:val="Hyperlink"/>
            <w:rFonts w:ascii="MyriadPro" w:hAnsi="MyriadPro" w:eastAsia="MyriadPro" w:cs="MyriadPro"/>
            <w:sz w:val="14.62019157409668"/>
            <w:color w:val="0000FF"/>
            <w:w w:val="97.4679438273112"/>
            <w:spacing w:val="-10"/>
          </w:rPr>
          <w:t>https://doi.org/10.1016/j.ijedudev.2017.05.001</w:t>
        </w:r>
      </w:hyperlink>
      <w:r>
        <w:rPr>
          <w:spacing w:val="-10"/>
          <w:w w:val="97.4679438273112"/>
          <w:rFonts w:ascii="MyriadPro" w:hAnsi="MyriadPro" w:eastAsia="MyriadPro"/>
          <w:color w:val="000000"/>
          <w:sz w:val="15"/>
        </w:rPr>
        <w:t>.</w:t>
      </w:r>
    </w:p>
    <w:p>
      <w:pPr>
        <w:autoSpaceDN w:val="0"/>
        <w:autoSpaceDE w:val="0"/>
        <w:widowControl/>
        <w:spacing w:line="148" w:lineRule="exact" w:before="388" w:after="0"/>
        <w:ind w:left="2112" w:right="0" w:firstLine="0"/>
        <w:jc w:val="left"/>
      </w:pPr>
      <w:r>
        <w:rPr>
          <w:spacing w:val="-10"/>
          <w:w w:val="98.0952399117606"/>
          <w:rFonts w:ascii="MyriadPro" w:hAnsi="MyriadPro" w:eastAsia="MyriadPro"/>
          <w:b/>
          <w:color w:val="000000"/>
          <w:sz w:val="21"/>
        </w:rPr>
        <w:t>Publisher’s Note</w:t>
      </w:r>
    </w:p>
    <w:p>
      <w:pPr>
        <w:autoSpaceDN w:val="0"/>
        <w:autoSpaceDE w:val="0"/>
        <w:widowControl/>
        <w:spacing w:line="170" w:lineRule="exact" w:before="46" w:after="0"/>
        <w:ind w:left="2112" w:right="0" w:firstLine="0"/>
        <w:jc w:val="left"/>
      </w:pPr>
      <w:r>
        <w:rPr>
          <w:spacing w:val="-10"/>
          <w:rFonts w:ascii="MyriadPro" w:hAnsi="MyriadPro" w:eastAsia="MyriadPro"/>
          <w:color w:val="000000"/>
          <w:sz w:val="15"/>
        </w:rPr>
        <w:t>Springer Nature remains neutral with regard to jurisdictional claims in published maps and institutional affiliations.</w:t>
      </w:r>
    </w:p>
    <w:sectPr w:rsidR="00FC693F" w:rsidRPr="0006063C" w:rsidSect="00034616">
      <w:pgSz w:w="11906" w:h="15874"/>
      <w:pgMar w:top="240" w:right="240" w:bottom="240" w:left="2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i.org/10.1007/s44217-026-01650-3" TargetMode="External"/><Relationship Id="rId10" Type="http://schemas.openxmlformats.org/officeDocument/2006/relationships/hyperlink" Target="http://orcid.org/0000-0001-9983-1207" TargetMode="External"/><Relationship Id="rId11" Type="http://schemas.openxmlformats.org/officeDocument/2006/relationships/hyperlink" Target="mailto:zacharia.katambara@must.ac.tz" TargetMode="External"/><Relationship Id="rId12" Type="http://schemas.openxmlformats.org/officeDocument/2006/relationships/hyperlink" Target="#nameddest=44217_2026_1650_Article.indd%3ACR29-DES%3A103" TargetMode="External"/><Relationship Id="rId13" Type="http://schemas.openxmlformats.org/officeDocument/2006/relationships/hyperlink" Target="http://creativecommons.org/licenses/by-nc-nd/4.0/" TargetMode="External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image" Target="media/image14.png"/><Relationship Id="rId28" Type="http://schemas.openxmlformats.org/officeDocument/2006/relationships/image" Target="media/image15.png"/><Relationship Id="rId29" Type="http://schemas.openxmlformats.org/officeDocument/2006/relationships/image" Target="media/image16.png"/><Relationship Id="rId30" Type="http://schemas.openxmlformats.org/officeDocument/2006/relationships/image" Target="media/image17.png"/><Relationship Id="rId31" Type="http://schemas.openxmlformats.org/officeDocument/2006/relationships/image" Target="media/image18.png"/><Relationship Id="rId32" Type="http://schemas.openxmlformats.org/officeDocument/2006/relationships/image" Target="media/image19.png"/><Relationship Id="rId33" Type="http://schemas.openxmlformats.org/officeDocument/2006/relationships/image" Target="media/image20.png"/><Relationship Id="rId34" Type="http://schemas.openxmlformats.org/officeDocument/2006/relationships/image" Target="media/image21.png"/><Relationship Id="rId35" Type="http://schemas.openxmlformats.org/officeDocument/2006/relationships/image" Target="media/image22.png"/><Relationship Id="rId36" Type="http://schemas.openxmlformats.org/officeDocument/2006/relationships/image" Target="media/image23.png"/><Relationship Id="rId37" Type="http://schemas.openxmlformats.org/officeDocument/2006/relationships/image" Target="media/image24.png"/><Relationship Id="rId38" Type="http://schemas.openxmlformats.org/officeDocument/2006/relationships/image" Target="media/image25.png"/><Relationship Id="rId39" Type="http://schemas.openxmlformats.org/officeDocument/2006/relationships/image" Target="media/image26.png"/><Relationship Id="rId40" Type="http://schemas.openxmlformats.org/officeDocument/2006/relationships/image" Target="media/image27.png"/><Relationship Id="rId41" Type="http://schemas.openxmlformats.org/officeDocument/2006/relationships/image" Target="media/image28.png"/><Relationship Id="rId42" Type="http://schemas.openxmlformats.org/officeDocument/2006/relationships/image" Target="media/image29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3.png"/><Relationship Id="rId47" Type="http://schemas.openxmlformats.org/officeDocument/2006/relationships/image" Target="media/image34.png"/><Relationship Id="rId48" Type="http://schemas.openxmlformats.org/officeDocument/2006/relationships/image" Target="media/image35.png"/><Relationship Id="rId49" Type="http://schemas.openxmlformats.org/officeDocument/2006/relationships/image" Target="media/image36.png"/><Relationship Id="rId50" Type="http://schemas.openxmlformats.org/officeDocument/2006/relationships/image" Target="media/image37.png"/><Relationship Id="rId51" Type="http://schemas.openxmlformats.org/officeDocument/2006/relationships/image" Target="media/image38.png"/><Relationship Id="rId52" Type="http://schemas.openxmlformats.org/officeDocument/2006/relationships/hyperlink" Target="#nameddest=44217_2026_1650_Article.indd%3ACR2-DES%3A104" TargetMode="External"/><Relationship Id="rId53" Type="http://schemas.openxmlformats.org/officeDocument/2006/relationships/hyperlink" Target="#nameddest=44217_2026_1650_Article.indd%3ACR31-DES%3A105" TargetMode="External"/><Relationship Id="rId54" Type="http://schemas.openxmlformats.org/officeDocument/2006/relationships/hyperlink" Target="#nameddest=44217_2026_1650_Article.indd%3ACR34-DES%3A106" TargetMode="External"/><Relationship Id="rId55" Type="http://schemas.openxmlformats.org/officeDocument/2006/relationships/hyperlink" Target="#nameddest=44217_2026_1650_Article.indd%3ACR20-DES%3A107" TargetMode="External"/><Relationship Id="rId56" Type="http://schemas.openxmlformats.org/officeDocument/2006/relationships/hyperlink" Target="#nameddest=44217_2026_1650_Article.indd%3ACR35-DES%3A108" TargetMode="External"/><Relationship Id="rId57" Type="http://schemas.openxmlformats.org/officeDocument/2006/relationships/hyperlink" Target="#nameddest=44217_2026_1650_Article.indd%3ACR14-DES%3A109" TargetMode="External"/><Relationship Id="rId58" Type="http://schemas.openxmlformats.org/officeDocument/2006/relationships/hyperlink" Target="#nameddest=44217_2026_1650_Article.indd%3ACR15-DES%3A110" TargetMode="External"/><Relationship Id="rId59" Type="http://schemas.openxmlformats.org/officeDocument/2006/relationships/hyperlink" Target="#nameddest=44217_2026_1650_Article.indd%3ACR3-DES%3A111" TargetMode="External"/><Relationship Id="rId60" Type="http://schemas.openxmlformats.org/officeDocument/2006/relationships/hyperlink" Target="#nameddest=44217_2026_1650_Article.indd%3ACR8-DES%3A112" TargetMode="External"/><Relationship Id="rId61" Type="http://schemas.openxmlformats.org/officeDocument/2006/relationships/hyperlink" Target="#nameddest=44217_2026_1650_Article.indd%3ACR28-DES%3A113" TargetMode="External"/><Relationship Id="rId62" Type="http://schemas.openxmlformats.org/officeDocument/2006/relationships/hyperlink" Target="#nameddest=44217_2026_1650_Article.indd%3ACR11-DES%3A114" TargetMode="External"/><Relationship Id="rId63" Type="http://schemas.openxmlformats.org/officeDocument/2006/relationships/hyperlink" Target="#nameddest=44217_2026_1650_Article.indd%3ACR22-DES%3A115" TargetMode="External"/><Relationship Id="rId64" Type="http://schemas.openxmlformats.org/officeDocument/2006/relationships/hyperlink" Target="#nameddest=44217_2026_1650_Article.indd%3ACR16-DES%3A116" TargetMode="External"/><Relationship Id="rId65" Type="http://schemas.openxmlformats.org/officeDocument/2006/relationships/hyperlink" Target="#nameddest=44217_2026_1650_Article.indd%3ACR33-DES%3A117" TargetMode="External"/><Relationship Id="rId66" Type="http://schemas.openxmlformats.org/officeDocument/2006/relationships/hyperlink" Target="#nameddest=44217_2026_1650_Article.indd%3ACR23-DES%3A118" TargetMode="External"/><Relationship Id="rId67" Type="http://schemas.openxmlformats.org/officeDocument/2006/relationships/hyperlink" Target="#nameddest=44217_2026_1650_Article.indd%3ACR30-DES%3A119" TargetMode="External"/><Relationship Id="rId68" Type="http://schemas.openxmlformats.org/officeDocument/2006/relationships/hyperlink" Target="#nameddest=44217_2026_1650_Article.indd%3ACR10-DES%3A120" TargetMode="External"/><Relationship Id="rId69" Type="http://schemas.openxmlformats.org/officeDocument/2006/relationships/hyperlink" Target="#nameddest=44217_2026_1650_Article.indd%3AFig1-DES%3A158" TargetMode="External"/><Relationship Id="rId70" Type="http://schemas.openxmlformats.org/officeDocument/2006/relationships/hyperlink" Target="#nameddest=44217_2026_1650_Article.indd%3ACR12-DES%3A122" TargetMode="External"/><Relationship Id="rId71" Type="http://schemas.openxmlformats.org/officeDocument/2006/relationships/hyperlink" Target="#nameddest=44217_2026_1650_Article.indd%3ACR1-DES%3A121" TargetMode="External"/><Relationship Id="rId72" Type="http://schemas.openxmlformats.org/officeDocument/2006/relationships/image" Target="media/image39.png"/><Relationship Id="rId73" Type="http://schemas.openxmlformats.org/officeDocument/2006/relationships/hyperlink" Target="#nameddest=44217_2026_1650_Article.indd%3ACR6-DES%3A123" TargetMode="External"/><Relationship Id="rId74" Type="http://schemas.openxmlformats.org/officeDocument/2006/relationships/hyperlink" Target="#nameddest=44217_2026_1650_Article.indd%3ACR7-DES%3A124" TargetMode="External"/><Relationship Id="rId75" Type="http://schemas.openxmlformats.org/officeDocument/2006/relationships/hyperlink" Target="#nameddest=44217_2026_1650_Article.indd%3ACR9-DES%3A125" TargetMode="External"/><Relationship Id="rId76" Type="http://schemas.openxmlformats.org/officeDocument/2006/relationships/hyperlink" Target="#nameddest=44217_2026_1650_Article.indd%3ACR25-DES%3A126" TargetMode="External"/><Relationship Id="rId77" Type="http://schemas.openxmlformats.org/officeDocument/2006/relationships/hyperlink" Target="#nameddest=44217_2026_1650_Article.indd%3ACR19-DES%3A127" TargetMode="External"/><Relationship Id="rId78" Type="http://schemas.openxmlformats.org/officeDocument/2006/relationships/hyperlink" Target="#nameddest=44217_2026_1650_Article.indd%3ACR27-DES%3A128" TargetMode="External"/><Relationship Id="rId79" Type="http://schemas.openxmlformats.org/officeDocument/2006/relationships/hyperlink" Target="#nameddest=44217_2026_1650_Article.indd%3ACR32-DES%3A129" TargetMode="External"/><Relationship Id="rId80" Type="http://schemas.openxmlformats.org/officeDocument/2006/relationships/hyperlink" Target="#nameddest=44217_2026_1650_Article.indd%3ATab1-DES%3A159" TargetMode="External"/><Relationship Id="rId81" Type="http://schemas.openxmlformats.org/officeDocument/2006/relationships/image" Target="media/image40.png"/><Relationship Id="rId82" Type="http://schemas.openxmlformats.org/officeDocument/2006/relationships/image" Target="media/image41.png"/><Relationship Id="rId83" Type="http://schemas.openxmlformats.org/officeDocument/2006/relationships/image" Target="media/image42.png"/><Relationship Id="rId84" Type="http://schemas.openxmlformats.org/officeDocument/2006/relationships/image" Target="media/image43.png"/><Relationship Id="rId85" Type="http://schemas.openxmlformats.org/officeDocument/2006/relationships/image" Target="media/image44.png"/><Relationship Id="rId86" Type="http://schemas.openxmlformats.org/officeDocument/2006/relationships/image" Target="media/image45.png"/><Relationship Id="rId87" Type="http://schemas.openxmlformats.org/officeDocument/2006/relationships/hyperlink" Target="#nameddest=44217_2026_1650_Article.indd%3ATab2-DES%3A160" TargetMode="External"/><Relationship Id="rId88" Type="http://schemas.openxmlformats.org/officeDocument/2006/relationships/hyperlink" Target="#nameddest=44217_2026_1650_Article.indd%3ATab3-DES%3A161" TargetMode="External"/><Relationship Id="rId89" Type="http://schemas.openxmlformats.org/officeDocument/2006/relationships/hyperlink" Target="#nameddest=44217_2026_1650_Article.indd%3ACR17-DES%3A130" TargetMode="External"/><Relationship Id="rId90" Type="http://schemas.openxmlformats.org/officeDocument/2006/relationships/hyperlink" Target="#nameddest=44217_2026_1650_Article.indd%3ACR26-DES%3A131" TargetMode="External"/><Relationship Id="rId91" Type="http://schemas.openxmlformats.org/officeDocument/2006/relationships/image" Target="media/image46.png"/><Relationship Id="rId92" Type="http://schemas.openxmlformats.org/officeDocument/2006/relationships/image" Target="media/image47.png"/><Relationship Id="rId93" Type="http://schemas.openxmlformats.org/officeDocument/2006/relationships/image" Target="media/image48.png"/><Relationship Id="rId94" Type="http://schemas.openxmlformats.org/officeDocument/2006/relationships/image" Target="media/image49.png"/><Relationship Id="rId95" Type="http://schemas.openxmlformats.org/officeDocument/2006/relationships/image" Target="media/image50.png"/><Relationship Id="rId96" Type="http://schemas.openxmlformats.org/officeDocument/2006/relationships/image" Target="media/image51.png"/><Relationship Id="rId97" Type="http://schemas.openxmlformats.org/officeDocument/2006/relationships/image" Target="media/image52.png"/><Relationship Id="rId98" Type="http://schemas.openxmlformats.org/officeDocument/2006/relationships/image" Target="media/image53.png"/><Relationship Id="rId99" Type="http://schemas.openxmlformats.org/officeDocument/2006/relationships/image" Target="media/image54.png"/><Relationship Id="rId100" Type="http://schemas.openxmlformats.org/officeDocument/2006/relationships/image" Target="media/image55.png"/><Relationship Id="rId101" Type="http://schemas.openxmlformats.org/officeDocument/2006/relationships/hyperlink" Target="#nameddest=44217_2026_1650_Article.indd%3ACR24-DES%3A132" TargetMode="External"/><Relationship Id="rId102" Type="http://schemas.openxmlformats.org/officeDocument/2006/relationships/hyperlink" Target="#nameddest=44217_2026_1650_Article.indd%3ACR18-DES%3A133" TargetMode="External"/><Relationship Id="rId103" Type="http://schemas.openxmlformats.org/officeDocument/2006/relationships/hyperlink" Target="#nameddest=44217_2026_1650_Article.indd%3AFig2-DES%3A162" TargetMode="External"/><Relationship Id="rId104" Type="http://schemas.openxmlformats.org/officeDocument/2006/relationships/image" Target="media/image56.png"/><Relationship Id="rId105" Type="http://schemas.openxmlformats.org/officeDocument/2006/relationships/hyperlink" Target="#nameddest=44217_2026_1650_Article.indd%3ACR21-DES%3A134" TargetMode="External"/><Relationship Id="rId106" Type="http://schemas.openxmlformats.org/officeDocument/2006/relationships/hyperlink" Target="#nameddest=44217_2026_1650_Article.indd%3ATab4-DES%3A163" TargetMode="External"/><Relationship Id="rId107" Type="http://schemas.openxmlformats.org/officeDocument/2006/relationships/hyperlink" Target="#nameddest=44217_2026_1650_Article.indd%3ACR5-DES%3A135" TargetMode="External"/><Relationship Id="rId108" Type="http://schemas.openxmlformats.org/officeDocument/2006/relationships/hyperlink" Target="#nameddest=44217_2026_1650_Article.indd%3AFig3-DES%3A164" TargetMode="External"/><Relationship Id="rId109" Type="http://schemas.openxmlformats.org/officeDocument/2006/relationships/hyperlink" Target="#nameddest=44217_2026_1650_Article.indd%3ACR13-DES%3A136" TargetMode="External"/><Relationship Id="rId110" Type="http://schemas.openxmlformats.org/officeDocument/2006/relationships/image" Target="media/image57.png"/><Relationship Id="rId111" Type="http://schemas.openxmlformats.org/officeDocument/2006/relationships/image" Target="media/image58.png"/><Relationship Id="rId112" Type="http://schemas.openxmlformats.org/officeDocument/2006/relationships/image" Target="media/image59.png"/><Relationship Id="rId113" Type="http://schemas.openxmlformats.org/officeDocument/2006/relationships/image" Target="media/image60.png"/><Relationship Id="rId114" Type="http://schemas.openxmlformats.org/officeDocument/2006/relationships/image" Target="media/image61.png"/><Relationship Id="rId115" Type="http://schemas.openxmlformats.org/officeDocument/2006/relationships/hyperlink" Target="#nameddest=44217_2026_1650_Article.indd%3ACR4-DES%3A137" TargetMode="External"/><Relationship Id="rId116" Type="http://schemas.openxmlformats.org/officeDocument/2006/relationships/hyperlink" Target="#nameddest=44217_2026_1650_Article.indd%3ATab5-DES%3A165" TargetMode="External"/><Relationship Id="rId117" Type="http://schemas.openxmlformats.org/officeDocument/2006/relationships/image" Target="media/image62.png"/><Relationship Id="rId118" Type="http://schemas.openxmlformats.org/officeDocument/2006/relationships/image" Target="media/image63.png"/><Relationship Id="rId119" Type="http://schemas.openxmlformats.org/officeDocument/2006/relationships/image" Target="media/image64.png"/><Relationship Id="rId120" Type="http://schemas.openxmlformats.org/officeDocument/2006/relationships/image" Target="media/image65.png"/><Relationship Id="rId121" Type="http://schemas.openxmlformats.org/officeDocument/2006/relationships/image" Target="media/image66.png"/><Relationship Id="rId122" Type="http://schemas.openxmlformats.org/officeDocument/2006/relationships/hyperlink" Target="#nameddest=44217_2026_1650_Article.indd%3ATab6-DES%3A166" TargetMode="External"/><Relationship Id="rId123" Type="http://schemas.openxmlformats.org/officeDocument/2006/relationships/image" Target="media/image67.png"/><Relationship Id="rId124" Type="http://schemas.openxmlformats.org/officeDocument/2006/relationships/image" Target="media/image68.png"/><Relationship Id="rId125" Type="http://schemas.openxmlformats.org/officeDocument/2006/relationships/image" Target="media/image69.png"/><Relationship Id="rId126" Type="http://schemas.openxmlformats.org/officeDocument/2006/relationships/image" Target="media/image70.png"/><Relationship Id="rId127" Type="http://schemas.openxmlformats.org/officeDocument/2006/relationships/image" Target="media/image71.png"/><Relationship Id="rId128" Type="http://schemas.openxmlformats.org/officeDocument/2006/relationships/hyperlink" Target="#nameddest=44217_2026_1650_Article.indd%3AFig4-DES%3A167" TargetMode="External"/><Relationship Id="rId129" Type="http://schemas.openxmlformats.org/officeDocument/2006/relationships/image" Target="media/image72.png"/><Relationship Id="rId130" Type="http://schemas.openxmlformats.org/officeDocument/2006/relationships/hyperlink" Target="https://doi.org/10.1002/wics.101" TargetMode="External"/><Relationship Id="rId131" Type="http://schemas.openxmlformats.org/officeDocument/2006/relationships/hyperlink" Target="https://typeset.io/papers/using-principal-component-analysis-to-support-students-dv35by90kf" TargetMode="External"/><Relationship Id="rId132" Type="http://schemas.openxmlformats.org/officeDocument/2006/relationships/image" Target="media/image73.png"/><Relationship Id="rId133" Type="http://schemas.openxmlformats.org/officeDocument/2006/relationships/image" Target="media/image74.png"/><Relationship Id="rId134" Type="http://schemas.openxmlformats.org/officeDocument/2006/relationships/image" Target="media/image75.png"/><Relationship Id="rId135" Type="http://schemas.openxmlformats.org/officeDocument/2006/relationships/hyperlink" Target="https://doi.org/10.1207/s15327906mbr0102_10" TargetMode="External"/><Relationship Id="rId136" Type="http://schemas.openxmlformats.org/officeDocument/2006/relationships/hyperlink" Target="https://doi.org/10.11648/j.ajtas.20160501.11" TargetMode="External"/><Relationship Id="rId137" Type="http://schemas.openxmlformats.org/officeDocument/2006/relationships/hyperlink" Target="https://typeset.io/papers/a-pca-study-of-student-performance-indicators-in-a-web-2-0-16yiao98ze" TargetMode="External"/><Relationship Id="rId138" Type="http://schemas.openxmlformats.org/officeDocument/2006/relationships/hyperlink" Target="https://doi.org/10.1109/ISCID.2015.270" TargetMode="External"/><Relationship Id="rId139" Type="http://schemas.openxmlformats.org/officeDocument/2006/relationships/hyperlink" Target="https://doi.org/10.1098/rsta.2015.0202" TargetMode="External"/><Relationship Id="rId140" Type="http://schemas.openxmlformats.org/officeDocument/2006/relationships/hyperlink" Target="https://doi.org/10.1177/001316446002000116" TargetMode="External"/><Relationship Id="rId141" Type="http://schemas.openxmlformats.org/officeDocument/2006/relationships/hyperlink" Target="https://doi.org/10.46606/eajess2025v06i01.0427" TargetMode="External"/><Relationship Id="rId142" Type="http://schemas.openxmlformats.org/officeDocument/2006/relationships/hyperlink" Target="https://doi.org/10.4236/ce.2025.163016" TargetMode="External"/><Relationship Id="rId143" Type="http://schemas.openxmlformats.org/officeDocument/2006/relationships/hyperlink" Target="https://doi.org/10.1109/ACCESS.2023.3277225" TargetMode="External"/><Relationship Id="rId144" Type="http://schemas.openxmlformats.org/officeDocument/2006/relationships/hyperlink" Target="https://doi.org/10.1080/13636820.2019.1564320" TargetMode="External"/><Relationship Id="rId145" Type="http://schemas.openxmlformats.org/officeDocument/2006/relationships/hyperlink" Target="https://doi.org/10.17485/IJST/v17i6.2175" TargetMode="External"/><Relationship Id="rId146" Type="http://schemas.openxmlformats.org/officeDocument/2006/relationships/hyperlink" Target="https://doi.org/10.1016/j.engstud.2020.02.005" TargetMode="External"/><Relationship Id="rId147" Type="http://schemas.openxmlformats.org/officeDocument/2006/relationships/hyperlink" Target="https://doi.org/10.24294/jipd.v8i6.3958" TargetMode="External"/><Relationship Id="rId148" Type="http://schemas.openxmlformats.org/officeDocument/2006/relationships/hyperlink" Target="https://doi.org/10.1016/ajet.2018.01.004" TargetMode="External"/><Relationship Id="rId149" Type="http://schemas.openxmlformats.org/officeDocument/2006/relationships/hyperlink" Target="https://doi.org/10.1016/j.ijedudev.2017.05.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