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178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450850</wp:posOffset>
            </wp:positionH>
            <wp:positionV relativeFrom="page">
              <wp:posOffset>7708900</wp:posOffset>
            </wp:positionV>
            <wp:extent cx="1123950" cy="2159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412750</wp:posOffset>
            </wp:positionH>
            <wp:positionV relativeFrom="page">
              <wp:posOffset>7670800</wp:posOffset>
            </wp:positionV>
            <wp:extent cx="1200150" cy="292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92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717550</wp:posOffset>
            </wp:positionH>
            <wp:positionV relativeFrom="page">
              <wp:posOffset>7772400</wp:posOffset>
            </wp:positionV>
            <wp:extent cx="69850" cy="76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76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787400</wp:posOffset>
            </wp:positionH>
            <wp:positionV relativeFrom="page">
              <wp:posOffset>7772400</wp:posOffset>
            </wp:positionV>
            <wp:extent cx="50800" cy="76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76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7791450</wp:posOffset>
            </wp:positionV>
            <wp:extent cx="5715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895350</wp:posOffset>
            </wp:positionH>
            <wp:positionV relativeFrom="page">
              <wp:posOffset>7791450</wp:posOffset>
            </wp:positionV>
            <wp:extent cx="5080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946150</wp:posOffset>
            </wp:positionH>
            <wp:positionV relativeFrom="page">
              <wp:posOffset>7772400</wp:posOffset>
            </wp:positionV>
            <wp:extent cx="57150" cy="76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6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1022350</wp:posOffset>
            </wp:positionH>
            <wp:positionV relativeFrom="page">
              <wp:posOffset>7772400</wp:posOffset>
            </wp:positionV>
            <wp:extent cx="38100" cy="76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1054100</wp:posOffset>
            </wp:positionH>
            <wp:positionV relativeFrom="page">
              <wp:posOffset>7791450</wp:posOffset>
            </wp:positionV>
            <wp:extent cx="5715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1111250</wp:posOffset>
            </wp:positionH>
            <wp:positionV relativeFrom="page">
              <wp:posOffset>7791450</wp:posOffset>
            </wp:positionV>
            <wp:extent cx="3810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1174750</wp:posOffset>
            </wp:positionH>
            <wp:positionV relativeFrom="page">
              <wp:posOffset>7791450</wp:posOffset>
            </wp:positionV>
            <wp:extent cx="5080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1225550</wp:posOffset>
            </wp:positionH>
            <wp:positionV relativeFrom="page">
              <wp:posOffset>7791450</wp:posOffset>
            </wp:positionV>
            <wp:extent cx="57150" cy="76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6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1282700</wp:posOffset>
            </wp:positionH>
            <wp:positionV relativeFrom="page">
              <wp:posOffset>7772400</wp:posOffset>
            </wp:positionV>
            <wp:extent cx="57150" cy="76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6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1339850</wp:posOffset>
            </wp:positionH>
            <wp:positionV relativeFrom="page">
              <wp:posOffset>7791450</wp:posOffset>
            </wp:positionV>
            <wp:extent cx="5715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1390650</wp:posOffset>
            </wp:positionH>
            <wp:positionV relativeFrom="page">
              <wp:posOffset>7778750</wp:posOffset>
            </wp:positionV>
            <wp:extent cx="38100" cy="698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698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1428750</wp:posOffset>
            </wp:positionH>
            <wp:positionV relativeFrom="page">
              <wp:posOffset>7791450</wp:posOffset>
            </wp:positionV>
            <wp:extent cx="5080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1479550</wp:posOffset>
            </wp:positionH>
            <wp:positionV relativeFrom="page">
              <wp:posOffset>7791450</wp:posOffset>
            </wp:positionV>
            <wp:extent cx="5080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7753350</wp:posOffset>
            </wp:positionV>
            <wp:extent cx="76200" cy="1079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79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7753350</wp:posOffset>
            </wp:positionV>
            <wp:extent cx="76200" cy="1079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79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495300</wp:posOffset>
            </wp:positionH>
            <wp:positionV relativeFrom="page">
              <wp:posOffset>7740650</wp:posOffset>
            </wp:positionV>
            <wp:extent cx="152400" cy="158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482600</wp:posOffset>
            </wp:positionH>
            <wp:positionV relativeFrom="page">
              <wp:posOffset>7785100</wp:posOffset>
            </wp:positionV>
            <wp:extent cx="146050" cy="1206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206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939800</wp:posOffset>
            </wp:positionH>
            <wp:positionV relativeFrom="page">
              <wp:posOffset>584200</wp:posOffset>
            </wp:positionV>
            <wp:extent cx="1016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1041400</wp:posOffset>
            </wp:positionH>
            <wp:positionV relativeFrom="page">
              <wp:posOffset>533400</wp:posOffset>
            </wp:positionV>
            <wp:extent cx="76200" cy="165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65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1104900</wp:posOffset>
            </wp:positionH>
            <wp:positionV relativeFrom="page">
              <wp:posOffset>584200</wp:posOffset>
            </wp:positionV>
            <wp:extent cx="1016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1206500</wp:posOffset>
            </wp:positionH>
            <wp:positionV relativeFrom="page">
              <wp:posOffset>584200</wp:posOffset>
            </wp:positionV>
            <wp:extent cx="1016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1308100</wp:posOffset>
            </wp:positionH>
            <wp:positionV relativeFrom="page">
              <wp:posOffset>558800</wp:posOffset>
            </wp:positionV>
            <wp:extent cx="69850" cy="139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139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584200</wp:posOffset>
            </wp:positionV>
            <wp:extent cx="9525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584200</wp:posOffset>
            </wp:positionV>
            <wp:extent cx="1143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1568450</wp:posOffset>
            </wp:positionH>
            <wp:positionV relativeFrom="page">
              <wp:posOffset>584200</wp:posOffset>
            </wp:positionV>
            <wp:extent cx="1143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1695450</wp:posOffset>
            </wp:positionH>
            <wp:positionV relativeFrom="page">
              <wp:posOffset>533400</wp:posOffset>
            </wp:positionV>
            <wp:extent cx="69850" cy="165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165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1752600</wp:posOffset>
            </wp:positionH>
            <wp:positionV relativeFrom="page">
              <wp:posOffset>584200</wp:posOffset>
            </wp:positionV>
            <wp:extent cx="1016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1854200</wp:posOffset>
            </wp:positionH>
            <wp:positionV relativeFrom="page">
              <wp:posOffset>584200</wp:posOffset>
            </wp:positionV>
            <wp:extent cx="889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417830</wp:posOffset>
            </wp:positionV>
            <wp:extent cx="431800" cy="431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508000</wp:posOffset>
            </wp:positionH>
            <wp:positionV relativeFrom="page">
              <wp:posOffset>438150</wp:posOffset>
            </wp:positionV>
            <wp:extent cx="323850" cy="3873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873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6610350</wp:posOffset>
            </wp:positionH>
            <wp:positionV relativeFrom="page">
              <wp:posOffset>609600</wp:posOffset>
            </wp:positionV>
            <wp:extent cx="139700" cy="12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6762750</wp:posOffset>
            </wp:positionH>
            <wp:positionV relativeFrom="page">
              <wp:posOffset>609600</wp:posOffset>
            </wp:positionV>
            <wp:extent cx="114300" cy="12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6883400</wp:posOffset>
            </wp:positionH>
            <wp:positionV relativeFrom="page">
              <wp:posOffset>609600</wp:posOffset>
            </wp:positionV>
            <wp:extent cx="107950" cy="12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2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7001509</wp:posOffset>
            </wp:positionH>
            <wp:positionV relativeFrom="page">
              <wp:posOffset>612140</wp:posOffset>
            </wp:positionV>
            <wp:extent cx="36830" cy="1206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830" cy="1206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6553200</wp:posOffset>
            </wp:positionH>
            <wp:positionV relativeFrom="page">
              <wp:posOffset>495300</wp:posOffset>
            </wp:positionV>
            <wp:extent cx="285750" cy="26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6578600</wp:posOffset>
            </wp:positionH>
            <wp:positionV relativeFrom="page">
              <wp:posOffset>514350</wp:posOffset>
            </wp:positionV>
            <wp:extent cx="114300" cy="825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25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6813550</wp:posOffset>
            </wp:positionH>
            <wp:positionV relativeFrom="page">
              <wp:posOffset>584200</wp:posOffset>
            </wp:positionV>
            <wp:extent cx="285750" cy="26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6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6959600</wp:posOffset>
            </wp:positionH>
            <wp:positionV relativeFrom="page">
              <wp:posOffset>749300</wp:posOffset>
            </wp:positionV>
            <wp:extent cx="114300" cy="76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76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1018540</wp:posOffset>
            </wp:positionV>
            <wp:extent cx="664590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2241550</wp:posOffset>
            </wp:positionH>
            <wp:positionV relativeFrom="page">
              <wp:posOffset>2089150</wp:posOffset>
            </wp:positionV>
            <wp:extent cx="120650" cy="12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2286000</wp:posOffset>
            </wp:positionH>
            <wp:positionV relativeFrom="page">
              <wp:posOffset>2127250</wp:posOffset>
            </wp:positionV>
            <wp:extent cx="5080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2275840</wp:posOffset>
            </wp:positionH>
            <wp:positionV relativeFrom="page">
              <wp:posOffset>2129790</wp:posOffset>
            </wp:positionV>
            <wp:extent cx="6350" cy="4953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495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2273300</wp:posOffset>
            </wp:positionH>
            <wp:positionV relativeFrom="page">
              <wp:posOffset>2114550</wp:posOffset>
            </wp:positionV>
            <wp:extent cx="1270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4419600</wp:posOffset>
            </wp:positionH>
            <wp:positionV relativeFrom="page">
              <wp:posOffset>2089150</wp:posOffset>
            </wp:positionV>
            <wp:extent cx="120650" cy="12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4470400</wp:posOffset>
            </wp:positionH>
            <wp:positionV relativeFrom="page">
              <wp:posOffset>2127250</wp:posOffset>
            </wp:positionV>
            <wp:extent cx="4445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4453890</wp:posOffset>
            </wp:positionH>
            <wp:positionV relativeFrom="page">
              <wp:posOffset>2129790</wp:posOffset>
            </wp:positionV>
            <wp:extent cx="7620" cy="4953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495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4451350</wp:posOffset>
            </wp:positionH>
            <wp:positionV relativeFrom="page">
              <wp:posOffset>2114550</wp:posOffset>
            </wp:positionV>
            <wp:extent cx="1270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2113280</wp:posOffset>
            </wp:positionH>
            <wp:positionV relativeFrom="page">
              <wp:posOffset>9688830</wp:posOffset>
            </wp:positionV>
            <wp:extent cx="49898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9898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10143490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148" w:lineRule="exact" w:before="1344" w:after="0"/>
        <w:ind w:left="468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Article</w:t>
      </w:r>
    </w:p>
    <w:p>
      <w:pPr>
        <w:autoSpaceDN w:val="0"/>
        <w:autoSpaceDE w:val="0"/>
        <w:widowControl/>
        <w:spacing w:line="420" w:lineRule="exact" w:before="88" w:after="0"/>
        <w:ind w:left="474" w:right="1008" w:hanging="14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36"/>
        </w:rPr>
        <w:t xml:space="preserve">An Interpretable MACD–SCDM Framework for Sepsis Risk </w:t>
      </w:r>
      <w:r>
        <w:br/>
      </w:r>
      <w:r>
        <w:rPr>
          <w:spacing w:val="-10"/>
          <w:rFonts w:ascii="URWPalladioL" w:hAnsi="URWPalladioL" w:eastAsia="URWPalladioL"/>
          <w:b/>
          <w:color w:val="000000"/>
          <w:sz w:val="36"/>
        </w:rPr>
        <w:t>Modeling from Longitudinal Laboratory Trajectories</w:t>
      </w:r>
    </w:p>
    <w:p>
      <w:pPr>
        <w:autoSpaceDN w:val="0"/>
        <w:tabs>
          <w:tab w:pos="3524" w:val="left"/>
        </w:tabs>
        <w:autoSpaceDE w:val="0"/>
        <w:widowControl/>
        <w:spacing w:line="228" w:lineRule="exact" w:before="246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20"/>
        </w:rPr>
        <w:t>Charles Okanda Nyatega</w:t>
      </w:r>
      <w:r>
        <w:rPr>
          <w:spacing w:val="-10"/>
          <w:rFonts w:ascii="URWPalladioL" w:hAnsi="URWPalladioL" w:eastAsia="URWPalladioL"/>
          <w:b/>
          <w:color w:val="000000"/>
          <w:sz w:val="15"/>
        </w:rPr>
        <w:t>1,2,3,</w:t>
      </w:r>
      <w:r>
        <w:rPr>
          <w:spacing w:val="-10"/>
          <w:rFonts w:ascii="URWPalladioL" w:hAnsi="URWPalladioL" w:eastAsia="URWPalladioL"/>
          <w:b/>
          <w:color w:val="000000"/>
          <w:sz w:val="20"/>
        </w:rPr>
        <w:t xml:space="preserve">* </w:t>
      </w:r>
      <w:r>
        <w:tab/>
      </w:r>
      <w:r>
        <w:rPr>
          <w:spacing w:val="-10"/>
          <w:rFonts w:ascii="URWPalladioL" w:hAnsi="URWPalladioL" w:eastAsia="URWPalladioL"/>
          <w:b/>
          <w:color w:val="000000"/>
          <w:sz w:val="20"/>
        </w:rPr>
        <w:t>and Mohammed Jajere Adamu</w:t>
      </w:r>
      <w:r>
        <w:rPr>
          <w:spacing w:val="-10"/>
          <w:rFonts w:ascii="URWPalladioL" w:hAnsi="URWPalladioL" w:eastAsia="URWPalladioL"/>
          <w:b/>
          <w:color w:val="000000"/>
          <w:sz w:val="15"/>
        </w:rPr>
        <w:t>1,4,</w:t>
      </w:r>
      <w:r>
        <w:rPr>
          <w:spacing w:val="-10"/>
          <w:rFonts w:ascii="URWPalladioL" w:hAnsi="URWPalladioL" w:eastAsia="URWPalladioL"/>
          <w:b/>
          <w:color w:val="000000"/>
          <w:sz w:val="20"/>
        </w:rPr>
        <w:t>*</w:t>
      </w:r>
    </w:p>
    <w:p>
      <w:pPr>
        <w:autoSpaceDN w:val="0"/>
        <w:autoSpaceDE w:val="0"/>
        <w:widowControl/>
        <w:spacing w:line="84" w:lineRule="exact" w:before="426" w:after="0"/>
        <w:ind w:left="0" w:right="827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12"/>
        </w:rPr>
        <w:t>1</w:t>
      </w:r>
    </w:p>
    <w:p>
      <w:pPr>
        <w:autoSpaceDN w:val="0"/>
        <w:autoSpaceDE w:val="0"/>
        <w:widowControl/>
        <w:spacing w:line="162" w:lineRule="exact" w:before="0" w:after="0"/>
        <w:ind w:left="0" w:right="0" w:firstLine="0"/>
        <w:jc w:val="center"/>
      </w:pPr>
      <w:r>
        <w:rPr>
          <w:spacing w:val="-10"/>
          <w:rFonts w:ascii="URWPalladioL" w:hAnsi="URWPalladioL" w:eastAsia="URWPalladioL"/>
          <w:color w:val="000000"/>
          <w:sz w:val="16"/>
        </w:rPr>
        <w:t>School of Microelectronics, Tianjin University, Tianjin 300072, China</w:t>
      </w:r>
    </w:p>
    <w:p>
      <w:pPr>
        <w:autoSpaceDN w:val="0"/>
        <w:autoSpaceDE w:val="0"/>
        <w:widowControl/>
        <w:spacing w:line="82" w:lineRule="exact" w:before="30" w:after="0"/>
        <w:ind w:left="0" w:right="827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12"/>
        </w:rPr>
        <w:t>2</w:t>
      </w:r>
    </w:p>
    <w:p>
      <w:pPr>
        <w:autoSpaceDN w:val="0"/>
        <w:autoSpaceDE w:val="0"/>
        <w:widowControl/>
        <w:spacing w:line="188" w:lineRule="exact" w:before="0" w:after="0"/>
        <w:ind w:left="3358" w:right="432" w:hanging="2"/>
        <w:jc w:val="left"/>
      </w:pPr>
      <w:r>
        <w:rPr>
          <w:spacing w:val="-10"/>
          <w:w w:val="98.67525696754456"/>
          <w:rFonts w:ascii="URWPalladioL" w:hAnsi="URWPalladioL" w:eastAsia="URWPalladioL"/>
          <w:color w:val="000000"/>
          <w:sz w:val="16"/>
        </w:rPr>
        <w:t xml:space="preserve">Department of Electronics and Telecommunication Engineering, Mbeya University of Science and Technology, </w:t>
      </w:r>
      <w:r>
        <w:br/>
      </w:r>
      <w:r>
        <w:rPr>
          <w:spacing w:val="-10"/>
          <w:rFonts w:ascii="URWPalladioL" w:hAnsi="URWPalladioL" w:eastAsia="URWPalladioL"/>
          <w:color w:val="000000"/>
          <w:sz w:val="16"/>
        </w:rPr>
        <w:t>Mbeya P.O. Box 131, Tanzania</w:t>
      </w:r>
    </w:p>
    <w:p>
      <w:pPr>
        <w:autoSpaceDN w:val="0"/>
        <w:autoSpaceDE w:val="0"/>
        <w:widowControl/>
        <w:spacing w:line="86" w:lineRule="exact" w:before="30" w:after="0"/>
        <w:ind w:left="0" w:right="827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12"/>
        </w:rPr>
        <w:t>3</w:t>
      </w:r>
    </w:p>
    <w:p>
      <w:pPr>
        <w:autoSpaceDN w:val="0"/>
        <w:autoSpaceDE w:val="0"/>
        <w:widowControl/>
        <w:spacing w:line="188" w:lineRule="exact" w:before="0" w:after="0"/>
        <w:ind w:left="3358" w:right="1584" w:hanging="2"/>
        <w:jc w:val="left"/>
      </w:pPr>
      <w:r>
        <w:rPr>
          <w:spacing w:val="-10"/>
          <w:rFonts w:ascii="URWPalladioL" w:hAnsi="URWPalladioL" w:eastAsia="URWPalladioL"/>
          <w:color w:val="000000"/>
          <w:sz w:val="16"/>
        </w:rPr>
        <w:t xml:space="preserve">Department of Innovations and Incubation, Center for Innovation and Technology Transfer, </w:t>
      </w:r>
      <w:r>
        <w:br/>
      </w:r>
      <w:r>
        <w:rPr>
          <w:spacing w:val="-10"/>
          <w:rFonts w:ascii="URWPalladioL" w:hAnsi="URWPalladioL" w:eastAsia="URWPalladioL"/>
          <w:color w:val="000000"/>
          <w:sz w:val="16"/>
        </w:rPr>
        <w:t>Mbeya University of Science and Technology, Mbeya P.O. Box 131, Tanzania</w:t>
      </w:r>
    </w:p>
    <w:p>
      <w:pPr>
        <w:autoSpaceDN w:val="0"/>
        <w:autoSpaceDE w:val="0"/>
        <w:widowControl/>
        <w:spacing w:line="84" w:lineRule="exact" w:before="30" w:after="0"/>
        <w:ind w:left="0" w:right="827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12"/>
        </w:rPr>
        <w:t>4</w:t>
      </w:r>
    </w:p>
    <w:p>
      <w:pPr>
        <w:autoSpaceDN w:val="0"/>
        <w:autoSpaceDE w:val="0"/>
        <w:widowControl/>
        <w:spacing w:line="162" w:lineRule="exact" w:before="0" w:after="0"/>
        <w:ind w:left="0" w:right="220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16"/>
        </w:rPr>
        <w:t>Department of Computer Science, Yobe State University, Damaturu 620001, Nigeria</w:t>
      </w:r>
    </w:p>
    <w:p>
      <w:pPr>
        <w:autoSpaceDN w:val="0"/>
        <w:autoSpaceDE w:val="0"/>
        <w:widowControl/>
        <w:spacing w:line="58" w:lineRule="exact" w:before="60" w:after="0"/>
        <w:ind w:left="0" w:right="8282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16"/>
        </w:rPr>
        <w:t>*</w:t>
      </w:r>
    </w:p>
    <w:p>
      <w:pPr>
        <w:autoSpaceDN w:val="0"/>
        <w:autoSpaceDE w:val="0"/>
        <w:widowControl/>
        <w:spacing w:line="162" w:lineRule="exact" w:before="0" w:after="0"/>
        <w:ind w:left="0" w:right="2546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16"/>
        </w:rPr>
        <w:t>Correspondence: ncharlz@tju.edu.cn (C.O.N.); mainajajere@tju.edu.cn (M.J.A.)</w:t>
      </w:r>
    </w:p>
    <w:p>
      <w:pPr>
        <w:autoSpaceDN w:val="0"/>
        <w:autoSpaceDE w:val="0"/>
        <w:widowControl/>
        <w:spacing w:line="148" w:lineRule="exact" w:before="310" w:after="0"/>
        <w:ind w:left="0" w:right="7582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20"/>
        </w:rPr>
        <w:t>Abstract</w:t>
      </w:r>
    </w:p>
    <w:p>
      <w:pPr>
        <w:autoSpaceDN w:val="0"/>
        <w:autoSpaceDE w:val="0"/>
        <w:widowControl/>
        <w:spacing w:line="278" w:lineRule="exact" w:before="172" w:after="0"/>
        <w:ind w:left="3080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Early identification of sepsis from electronic health records (EHRs) remains challeng-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ing because longitudinal laboratory measurements are irregularly sampled, incomplete,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and dependent on the observation period. This study presents an interpretable tempo-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ral feature-engineering framework integrating Moving Average Convergence Divergence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(MACD)-based momentum descriptors with a Signal Correlation Decay Measure (SCDM) </w:t>
      </w:r>
      <w:r>
        <w:br/>
      </w: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 xml:space="preserve">representing short-term temporal persistence in longitudinal laboratory trajectories. Using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MIMIC-IV Clinical Database Demo (v2.2), 275 hospital admissions from 100 unique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patients were screened. Temporal descriptors were derived from lactate, creatinine, white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blood cell count, platelet count, and international normalized ratio. Sepsis status was </w:t>
      </w:r>
      <w:r>
        <w:br/>
      </w:r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>defined at the hospital-admission level using prespecified ICD-9-CM and ICD-10-CM diag-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nosis codes, independently of laboratory predictors. Because reliable diagnosis timestamps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were unavailable, the task was formulated as admission-level sepsis risk classification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rather than prediction of time-stamped sepsis onset. Features were constructed over cu-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mulative 0–12 h, 0–18 h, and 0–24 h observation horizons. Lactate was used exclusively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as a predictor. HistGradientBoosting and Logistic Regression were evaluated using re-</w:t>
      </w:r>
      <w:r>
        <w:br/>
      </w:r>
      <w:r>
        <w:rPr>
          <w:spacing w:val="-10"/>
          <w:w w:val="98.67501258850098"/>
          <w:rFonts w:ascii="URWPalladioL" w:hAnsi="URWPalladioL" w:eastAsia="URWPalladioL"/>
          <w:color w:val="000000"/>
          <w:sz w:val="20"/>
        </w:rPr>
        <w:t xml:space="preserve">peated patient-grouped cross-validation. Predictive performance varied across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horizons. Logistic Regression achieved the highest mean AUROC at 24 h (0.711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0.125),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while HistGradientBoosting achieved 0.682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0.139. Feature-set ablation indicated that </w:t>
      </w:r>
      <w:r>
        <w:br/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 xml:space="preserve">MACD-derived descriptors provided the most consistent incremental contribution relative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to conventional features, although their benefit varied by classifier and observation horizon.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Permutation importance further demonstrated horizon-dependent feature relevance, with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lactate-, INR-, platelet-, and WBC-derived descriptors among the highest-ranked predic-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tors. These findings demonstrate the feasibility of using interpretable momentum, trend,</w:t>
      </w:r>
    </w:p>
    <w:p>
      <w:pPr>
        <w:autoSpaceDN w:val="0"/>
        <w:tabs>
          <w:tab w:pos="3082" w:val="left"/>
        </w:tabs>
        <w:autoSpaceDE w:val="0"/>
        <w:widowControl/>
        <w:spacing w:line="182" w:lineRule="exact" w:before="0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 xml:space="preserve">Academic Editors: Enzo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variability, and persistence descriptors to characterize longitudinal laboratory dynamics.</w:t>
      </w:r>
    </w:p>
    <w:p>
      <w:pPr>
        <w:autoSpaceDN w:val="0"/>
        <w:tabs>
          <w:tab w:pos="3082" w:val="left"/>
        </w:tabs>
        <w:autoSpaceDE w:val="0"/>
        <w:widowControl/>
        <w:spacing w:line="208" w:lineRule="exact" w:before="2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 xml:space="preserve">Pasquale Scilingo and Gianluca Rho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The proposed MACD–SCDM framework provides a transparent methodological basis</w:t>
      </w:r>
    </w:p>
    <w:p>
      <w:pPr>
        <w:autoSpaceDN w:val="0"/>
        <w:tabs>
          <w:tab w:pos="3088" w:val="left"/>
        </w:tabs>
        <w:autoSpaceDE w:val="0"/>
        <w:widowControl/>
        <w:spacing w:line="200" w:lineRule="exact" w:before="0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 xml:space="preserve">Received: 30 June 2026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for examining how predictive temporal information evolves as clinical data accumulate.</w:t>
      </w:r>
    </w:p>
    <w:p>
      <w:pPr>
        <w:autoSpaceDN w:val="0"/>
        <w:tabs>
          <w:tab w:pos="3088" w:val="left"/>
        </w:tabs>
        <w:autoSpaceDE w:val="0"/>
        <w:widowControl/>
        <w:spacing w:line="184" w:lineRule="exact" w:before="0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 xml:space="preserve">Revised: 25 August 2026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Larger, time-resolved, externally validated multicenter cohorts are required to establish</w:t>
      </w:r>
    </w:p>
    <w:p>
      <w:pPr>
        <w:autoSpaceDN w:val="0"/>
        <w:tabs>
          <w:tab w:pos="3088" w:val="left"/>
        </w:tabs>
        <w:autoSpaceDE w:val="0"/>
        <w:widowControl/>
        <w:spacing w:line="202" w:lineRule="exact" w:before="10" w:after="0"/>
        <w:ind w:left="468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 xml:space="preserve">Accepted: 31 August 2026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generalizability and clinical utility.</w:t>
      </w:r>
    </w:p>
    <w:p>
      <w:pPr>
        <w:autoSpaceDN w:val="0"/>
        <w:autoSpaceDE w:val="0"/>
        <w:widowControl/>
        <w:spacing w:line="142" w:lineRule="exact" w:before="62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>Published: 2 September 2026</w:t>
      </w:r>
    </w:p>
    <w:p>
      <w:pPr>
        <w:autoSpaceDN w:val="0"/>
        <w:tabs>
          <w:tab w:pos="3088" w:val="left"/>
        </w:tabs>
        <w:autoSpaceDE w:val="0"/>
        <w:widowControl/>
        <w:spacing w:line="202" w:lineRule="exact" w:before="52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14"/>
        </w:rPr>
        <w:t>Copyright:</w:t>
      </w:r>
      <w:r>
        <w:rPr>
          <w:spacing w:val="-10"/>
          <w:rFonts w:ascii="URWPalladioL" w:hAnsi="URWPalladioL" w:eastAsia="URWPalladioL"/>
          <w:color w:val="000000"/>
          <w:sz w:val="14"/>
        </w:rPr>
        <w:t xml:space="preserve"> © 2026 by the authors. </w:t>
      </w:r>
      <w:r>
        <w:tab/>
      </w:r>
      <w:r>
        <w:rPr>
          <w:spacing w:val="-10"/>
          <w:w w:val="98.62470626831055"/>
          <w:rFonts w:ascii="URWPalladioL" w:hAnsi="URWPalladioL" w:eastAsia="URWPalladioL"/>
          <w:b/>
          <w:color w:val="000000"/>
          <w:sz w:val="20"/>
        </w:rPr>
        <w:t>Keywords: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sepsis risk modeling; temporal feature engineering; Moving Average Convergence</w:t>
      </w:r>
    </w:p>
    <w:p>
      <w:pPr>
        <w:autoSpaceDN w:val="0"/>
        <w:tabs>
          <w:tab w:pos="3088" w:val="left"/>
        </w:tabs>
        <w:autoSpaceDE w:val="0"/>
        <w:widowControl/>
        <w:spacing w:line="184" w:lineRule="exact" w:before="0" w:after="12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 xml:space="preserve">Licensee MDPI, Basel, Switzerland.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Divergence; Signal Correlation Decay Measure; interpretable machine learning; electronic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20" w:type="dxa"/>
      </w:tblPr>
      <w:tblGrid>
        <w:gridCol w:w="2640" w:type="dxa"/>
        <w:gridCol w:w="7140" w:type="dxa"/>
      </w:tblGrid>
      <w:tr>
        <w:trPr>
          <w:trHeight w:hRule="exact" w:val="412"/>
        </w:trPr>
        <w:tc>
          <w:tcPr>
            <w:tcW w:type="dxa" w:w="2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4"/>
              </w:rPr>
              <w:t>This article is an open access article</w:t>
            </w:r>
          </w:p>
          <w:p>
            <w:pPr>
              <w:autoSpaceDN w:val="0"/>
              <w:autoSpaceDE w:val="0"/>
              <w:widowControl/>
              <w:spacing w:line="104" w:lineRule="exact" w:before="98" w:after="0"/>
              <w:ind w:left="254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4"/>
              </w:rPr>
              <w:t>distributed under the terms and</w:t>
            </w:r>
          </w:p>
        </w:tc>
        <w:tc>
          <w:tcPr>
            <w:tcW w:type="dxa" w:w="7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6" w:after="0"/>
              <w:ind w:left="22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health records; patient-grouped validation; observation horizons</w:t>
            </w:r>
          </w:p>
        </w:tc>
      </w:tr>
    </w:tbl>
    <w:p>
      <w:pPr>
        <w:autoSpaceDN w:val="0"/>
        <w:autoSpaceDE w:val="0"/>
        <w:widowControl/>
        <w:spacing w:line="106" w:lineRule="exact" w:before="74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4"/>
        </w:rPr>
        <w:t>conditions of the</w:t>
      </w:r>
      <w:r>
        <w:rPr>
          <w:spacing w:val="-10"/>
          <w:rFonts w:ascii="URWPalladioL" w:hAnsi="URWPalladioL" w:eastAsia="URWPalladioL"/>
          <w:color w:val="0875B7"/>
          <w:sz w:val="14"/>
        </w:rPr>
        <w:t xml:space="preserve"> </w:t>
      </w:r>
      <w:hyperlink r:id="rId9" w:history="1">
        <w:r>
          <w:rPr>
            <w:rStyle w:val="Hyperlink"/>
            <w:rFonts w:ascii="URWPalladioL" w:hAnsi="URWPalladioL" w:eastAsia="URWPalladioL" w:cs="URWPalladioL"/>
            <w:sz w:val="13.947600364685059"/>
            <w:color w:val="0875B7"/>
            <w:spacing w:val="-10"/>
          </w:rPr>
          <w:t>Creative Commons</w:t>
        </w:r>
      </w:hyperlink>
    </w:p>
    <w:p>
      <w:pPr>
        <w:autoSpaceDN w:val="0"/>
        <w:autoSpaceDE w:val="0"/>
        <w:widowControl/>
        <w:spacing w:line="130" w:lineRule="exact" w:before="134" w:after="100"/>
        <w:ind w:left="468" w:right="0" w:firstLine="0"/>
        <w:jc w:val="left"/>
      </w:pPr>
      <w:hyperlink r:id="rId9" w:history="1">
        <w:r>
          <w:rPr>
            <w:rStyle w:val="Hyperlink"/>
            <w:rFonts w:ascii="URWPalladioL" w:hAnsi="URWPalladioL" w:eastAsia="URWPalladioL" w:cs="URWPalladioL"/>
            <w:sz w:val="13.947600364685059"/>
            <w:color w:val="0875B7"/>
            <w:spacing w:val="-10"/>
          </w:rPr>
          <w:t>Attribution (CC BY) license</w:t>
        </w:r>
      </w:hyperlink>
      <w:hyperlink r:id="rId9" w:history="1">
        <w:r>
          <w:rPr>
            <w:rStyle w:val="Hyperlink"/>
            <w:rFonts w:ascii="URWPalladioL" w:hAnsi="URWPalladioL" w:eastAsia="URWPalladioL" w:cs="URWPalladioL"/>
            <w:sz w:val="13.947600364685059"/>
            <w:color w:val="000000"/>
            <w:spacing w:val="-10"/>
          </w:rPr>
          <w:t>.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tabs>
          <w:tab w:pos="7750" w:val="left"/>
        </w:tabs>
        <w:autoSpaceDE w:val="0"/>
        <w:widowControl/>
        <w:spacing w:line="160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type w:val="continuous"/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2 of 19</w:t>
      </w:r>
    </w:p>
    <w:p>
      <w:pPr>
        <w:autoSpaceDN w:val="0"/>
        <w:autoSpaceDE w:val="0"/>
        <w:widowControl/>
        <w:spacing w:line="176" w:lineRule="exact" w:before="586" w:after="0"/>
        <w:ind w:left="0" w:right="6704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24"/>
        </w:rPr>
        <w:t>1. Introduction</w:t>
      </w:r>
    </w:p>
    <w:p>
      <w:pPr>
        <w:autoSpaceDN w:val="0"/>
        <w:autoSpaceDE w:val="0"/>
        <w:widowControl/>
        <w:spacing w:line="278" w:lineRule="exact" w:before="114" w:after="0"/>
        <w:ind w:left="3082" w:right="432" w:firstLine="432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Sepsis remains one of the leading causes of mor</w:t>
      </w:r>
      <w:hyperlink r:id="rId64" w:history="1">
        <w:r>
          <w:rPr>
            <w:rStyle w:val="Hyperlink"/>
            <w:rFonts w:ascii="URWPalladioL" w:hAnsi="URWPalladioL" w:eastAsia="URWPalladioL" w:cs="URWPalladioL"/>
            <w:sz w:val="20.024578094482422"/>
            <w:color w:val="000000"/>
            <w:spacing w:val="-10"/>
          </w:rPr>
          <w:t>bi</w:t>
        </w:r>
      </w:hyperlink>
      <w:hyperlink r:id="rId65" w:history="1">
        <w:r>
          <w:rPr>
            <w:rStyle w:val="Hyperlink"/>
            <w:rFonts w:ascii="URWPalladioL" w:hAnsi="URWPalladioL" w:eastAsia="URWPalladioL" w:cs="URWPalladioL"/>
            <w:sz w:val="20.024578094482422"/>
            <w:color w:val="000000"/>
            <w:spacing w:val="-10"/>
          </w:rPr>
          <w:t>d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ity and mortality worldwide, im-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posing a substantial burden on healthcare systems [</w:t>
      </w:r>
      <w:hyperlink r:id="rId64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65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2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]. Early identification of patients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at risk is es</w:t>
      </w:r>
      <w:hyperlink r:id="rId66" w:history="1">
        <w:r>
          <w:rPr>
            <w:rStyle w:val="Hyperlink"/>
            <w:rFonts w:ascii="URWPalladioL" w:hAnsi="URWPalladioL" w:eastAsia="URWPalladioL" w:cs="URWPalladioL"/>
            <w:sz w:val="20.01466178894043"/>
            <w:color w:val="000000"/>
            <w:spacing w:val="-10"/>
          </w:rPr>
          <w:t>s</w:t>
        </w:r>
      </w:hyperlink>
      <w:hyperlink r:id="rId67" w:history="1">
        <w:r>
          <w:rPr>
            <w:rStyle w:val="Hyperlink"/>
            <w:rFonts w:ascii="URWPalladioL" w:hAnsi="URWPalladioL" w:eastAsia="URWPalladioL" w:cs="URWPalladioL"/>
            <w:sz w:val="20.01466178894043"/>
            <w:color w:val="000000"/>
            <w:spacing w:val="-10"/>
          </w:rPr>
          <w:t>en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tial because timely intervention can improve clinical outcomes and reduce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mortality [</w:t>
      </w:r>
      <w:hyperlink r:id="rId66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3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67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4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]. However, early detection remains challenging due to the heterogeneous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clinical presentation of sepsis, dynamic physiological c</w:t>
      </w:r>
      <w:hyperlink r:id="rId68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>h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anges, and the irregular and in-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complete nature of electronic health record (EHR) data [</w:t>
      </w:r>
      <w:hyperlink r:id="rId68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5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]. Machine learning has become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 important tool for early sepsis prediction using EHR dat</w:t>
      </w:r>
      <w:hyperlink r:id="rId69" w:history="1">
        <w:r>
          <w:rPr>
            <w:rStyle w:val="Hyperlink"/>
            <w:rFonts w:ascii="URWPalladioL" w:hAnsi="URWPalladioL" w:eastAsia="URWPalladioL" w:cs="URWPalladioL"/>
            <w:sz w:val="19.994815826416016"/>
            <w:color w:val="000000"/>
            <w:spacing w:val="-10"/>
          </w:rPr>
          <w:t>a,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 </w:t>
      </w:r>
      <w:hyperlink r:id="rId70" w:history="1">
        <w:r>
          <w:rPr>
            <w:rStyle w:val="Hyperlink"/>
            <w:rFonts w:ascii="URWPalladioL" w:hAnsi="URWPalladioL" w:eastAsia="URWPalladioL" w:cs="URWPalladioL"/>
            <w:sz w:val="19.994815826416016"/>
            <w:color w:val="000000"/>
            <w:spacing w:val="-10"/>
          </w:rPr>
          <w:t>e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nabling models to capture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complex temporal relationships among clinical variables [</w:t>
      </w:r>
      <w:hyperlink r:id="rId69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6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–</w:t>
      </w:r>
      <w:hyperlink r:id="rId70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9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]. Nevertheless, many ex-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isting approaches primarily emphasize predictive performance, while providing limited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insight into how temporal laboratory dynamics contribute to risk estimation. Although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post-hoc explainability methods have improved model interpretation, there remains a need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for feature engineering strategies that explicitly encode clinically meaningful temporal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patterns before model training. Such approaches can improve transparency while retain-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ing the ability t</w:t>
      </w:r>
      <w:hyperlink r:id="rId71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 xml:space="preserve">o </w:t>
        </w:r>
      </w:hyperlink>
      <w:hyperlink r:id="rId72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>m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o</w:t>
      </w:r>
      <w:hyperlink r:id="rId73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>de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l evolving physiological changes reflected in routine laboratory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measurements [</w:t>
      </w:r>
      <w:hyperlink r:id="rId71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7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72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10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–</w:t>
      </w:r>
      <w:hyperlink r:id="rId73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12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]. One approach to improving model interpretability is through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feature-engineered representations of physiological signals that enable machine learning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models to recognize meaningful temporal patterns while facilitating post-hoc explanation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through explainable AI techniques.</w:t>
      </w:r>
    </w:p>
    <w:p>
      <w:pPr>
        <w:autoSpaceDN w:val="0"/>
        <w:autoSpaceDE w:val="0"/>
        <w:widowControl/>
        <w:spacing w:line="278" w:lineRule="exact" w:before="2" w:after="0"/>
        <w:ind w:left="3080" w:right="446" w:firstLine="424"/>
        <w:jc w:val="both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Laboratory biomarkers evolve continuously during the onset and progression of sepsis.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Consequently, descriptors that quantify the direction, magnitude, variability, momentum,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and persistence of temporal changes may provide information beyond isolated labora-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tory values. Momentum-based descriptors such as Moving Average Convergence Diver-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gence (MACD) characterize differences between short- and longer-term temporal behavior,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whereas autocorrelation-based measures can characterize short-term temporal persistence.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24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This study presents an interpretable sepsis risk modeling fram</w:t>
      </w:r>
      <w:hyperlink r:id="rId74" w:history="1">
        <w:r>
          <w:rPr>
            <w:rStyle w:val="Hyperlink"/>
            <w:rFonts w:ascii="URWPalladioL" w:hAnsi="URWPalladioL" w:eastAsia="URWPalladioL" w:cs="URWPalladioL"/>
            <w:sz w:val="19.72494125366211"/>
            <w:color w:val="000000"/>
            <w:w w:val="98.62470626831055"/>
            <w:spacing w:val="-10"/>
          </w:rPr>
          <w:t>ew</w:t>
        </w:r>
      </w:hyperlink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ork based on temporal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feature engineering. Using the MIMIC-IV Clinical Database Demo [</w:t>
      </w:r>
      <w:hyperlink r:id="rId74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13</w:t>
        </w:r>
      </w:hyperlink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], hourly trajectories of </w:t>
      </w:r>
      <w:r>
        <w:br/>
      </w: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 xml:space="preserve">lactate, creatinine, white blood cell count, platelet count, and international normalized ratio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(INR) were transformed into descriptors capturing first-order statistics, trend, momentum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(MACD), variability, and short-term temporal persistence (SCDM). Their predictive con-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tributions were subsequently examined across 12 h, 18 h, and 24 h laboratory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horizons using patient-grouped validation.</w:t>
      </w:r>
    </w:p>
    <w:p>
      <w:pPr>
        <w:autoSpaceDN w:val="0"/>
        <w:autoSpaceDE w:val="0"/>
        <w:widowControl/>
        <w:spacing w:line="200" w:lineRule="exact" w:before="78" w:after="0"/>
        <w:ind w:left="0" w:right="4062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The primary contributions of this study are:</w:t>
      </w:r>
    </w:p>
    <w:p>
      <w:pPr>
        <w:autoSpaceDN w:val="0"/>
        <w:tabs>
          <w:tab w:pos="3550" w:val="left"/>
        </w:tabs>
        <w:autoSpaceDE w:val="0"/>
        <w:widowControl/>
        <w:spacing w:line="298" w:lineRule="exact" w:before="0" w:after="0"/>
        <w:ind w:left="3078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1. </w:t>
      </w:r>
      <w:r>
        <w:tab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Development of an interpretable temporal feature-engineering framework integrating </w:t>
      </w:r>
      <w:r>
        <w:br/>
      </w:r>
      <w:r>
        <w:tab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conventional statistical, trend, MACD-based momentum, and lag-1 SCDM persistence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descriptors from longitudinal laboratory trajectories.</w:t>
      </w:r>
    </w:p>
    <w:p>
      <w:pPr>
        <w:autoSpaceDN w:val="0"/>
        <w:tabs>
          <w:tab w:pos="3544" w:val="left"/>
          <w:tab w:pos="3550" w:val="left"/>
        </w:tabs>
        <w:autoSpaceDE w:val="0"/>
        <w:widowControl/>
        <w:spacing w:line="278" w:lineRule="exact" w:before="0" w:after="0"/>
        <w:ind w:left="3088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2. </w:t>
      </w:r>
      <w:r>
        <w:tab/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Evaluation of the framework across cumulative 12 h, 18 h, and 24 h laboratory obser-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vation horizons using an independently defined admission-level ICD-coded sepsis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phenotype.</w:t>
      </w:r>
    </w:p>
    <w:p>
      <w:pPr>
        <w:autoSpaceDN w:val="0"/>
        <w:tabs>
          <w:tab w:pos="3550" w:val="left"/>
        </w:tabs>
        <w:autoSpaceDE w:val="0"/>
        <w:widowControl/>
        <w:spacing w:line="202" w:lineRule="exact" w:before="16" w:after="0"/>
        <w:ind w:left="3088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3.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Patient-grouped validation accounting for repeated hospital admissions from the</w:t>
      </w:r>
    </w:p>
    <w:p>
      <w:pPr>
        <w:autoSpaceDN w:val="0"/>
        <w:autoSpaceDE w:val="0"/>
        <w:widowControl/>
        <w:spacing w:line="148" w:lineRule="exact" w:before="78" w:after="0"/>
        <w:ind w:left="0" w:right="639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same individual.</w:t>
      </w:r>
    </w:p>
    <w:p>
      <w:pPr>
        <w:autoSpaceDN w:val="0"/>
        <w:tabs>
          <w:tab w:pos="3550" w:val="left"/>
        </w:tabs>
        <w:autoSpaceDE w:val="0"/>
        <w:widowControl/>
        <w:spacing w:line="296" w:lineRule="exact" w:before="0" w:after="0"/>
        <w:ind w:left="3088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4.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Comparative evaluation using nonlinear HistGradientBoosting and linear Logistic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Regression classifiers, together with feature-level and physiological-system-level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interpretation across multiple temporal horizons.</w:t>
      </w:r>
    </w:p>
    <w:p>
      <w:pPr>
        <w:autoSpaceDN w:val="0"/>
        <w:autoSpaceDE w:val="0"/>
        <w:widowControl/>
        <w:spacing w:line="176" w:lineRule="exact" w:before="290" w:after="0"/>
        <w:ind w:left="0" w:right="5548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24"/>
        </w:rPr>
        <w:t>2. Materials and Methods</w:t>
      </w:r>
    </w:p>
    <w:p>
      <w:pPr>
        <w:autoSpaceDN w:val="0"/>
        <w:autoSpaceDE w:val="0"/>
        <w:widowControl/>
        <w:spacing w:line="200" w:lineRule="exact" w:before="176" w:after="0"/>
        <w:ind w:left="0" w:right="5160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2.1. Data Source and Cohort Definition</w:t>
      </w:r>
    </w:p>
    <w:p>
      <w:pPr>
        <w:autoSpaceDN w:val="0"/>
        <w:autoSpaceDE w:val="0"/>
        <w:widowControl/>
        <w:spacing w:line="278" w:lineRule="exact" w:before="62" w:after="0"/>
        <w:ind w:left="3088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This study used the MIMIC-IV Clinical Database Demo (v2.2), a publicly available,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de-identified critical care dat</w:t>
      </w:r>
      <w:hyperlink r:id="rId74" w:history="1">
        <w:r>
          <w:rPr>
            <w:rStyle w:val="Hyperlink"/>
            <w:rFonts w:ascii="URWPalladioL" w:hAnsi="URWPalladioL" w:eastAsia="URWPalladioL" w:cs="URWPalladioL"/>
            <w:sz w:val="19.8253231048584"/>
            <w:color w:val="000000"/>
            <w:spacing w:val="-10"/>
          </w:rPr>
          <w:t>ab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ase developed by Beth Israel Deaconess Medical Center and </w:t>
      </w:r>
      <w:r>
        <w:br/>
      </w:r>
      <w:r>
        <w:rPr>
          <w:spacing w:val="-10"/>
          <w:w w:val="98.72529029846191"/>
          <w:rFonts w:ascii="URWPalladioL" w:hAnsi="URWPalladioL" w:eastAsia="URWPalladioL"/>
          <w:color w:val="000000"/>
          <w:sz w:val="20"/>
        </w:rPr>
        <w:t>released through PhysioNet [</w:t>
      </w:r>
      <w:hyperlink r:id="rId74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13</w:t>
        </w:r>
      </w:hyperlink>
      <w:r>
        <w:rPr>
          <w:spacing w:val="-10"/>
          <w:w w:val="98.72529029846191"/>
          <w:rFonts w:ascii="URWPalladioL" w:hAnsi="URWPalladioL" w:eastAsia="URWPalladioL"/>
          <w:color w:val="000000"/>
          <w:sz w:val="20"/>
        </w:rPr>
        <w:t>]. The database contains electronic health records (EHRs) for</w:t>
      </w:r>
    </w:p>
    <w:p>
      <w:pPr>
        <w:autoSpaceDN w:val="0"/>
        <w:autoSpaceDE w:val="0"/>
        <w:widowControl/>
        <w:spacing w:line="160" w:lineRule="exact" w:before="580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2127250</wp:posOffset>
            </wp:positionH>
            <wp:positionV relativeFrom="page">
              <wp:posOffset>4051300</wp:posOffset>
            </wp:positionV>
            <wp:extent cx="3994150" cy="34544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345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3 of 19</w:t>
      </w:r>
    </w:p>
    <w:p>
      <w:pPr>
        <w:autoSpaceDN w:val="0"/>
        <w:autoSpaceDE w:val="0"/>
        <w:widowControl/>
        <w:spacing w:line="280" w:lineRule="exact" w:before="534" w:after="0"/>
        <w:ind w:left="3088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hospital and intensive care unit (ICU) admissions and has been widely used for method-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ological studies in clinical prediction and biomedical informatics.</w:t>
      </w:r>
    </w:p>
    <w:p>
      <w:pPr>
        <w:autoSpaceDN w:val="0"/>
        <w:autoSpaceDE w:val="0"/>
        <w:widowControl/>
        <w:spacing w:line="278" w:lineRule="exact" w:before="0" w:after="0"/>
        <w:ind w:left="3078" w:right="432" w:firstLine="43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source cohort comprised 275 hospital admissions from 100 unique patients, of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whom 48 had more than one hospital admission. Laboratory records were screened for five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routinely measured variables: lactate, creatinine, white blood cell count (WBC), platelet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count, and international normalized ratio (INR). Of the 275 admissions, 243 admissions from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100 unique patients contained at least one of the selected laboratory measurements. Three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cumulative laboratory observation horizons were evaluated: 0–12 h, 0–18 h, and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0–24 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after hospital admission. Hospital admission was defined as the temporal origin (t = 0),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and only laboratory measurements available within the corresponding observation horizon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were used for temporal feature construction. Eligibility was determined separately at each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horizon according to the availability of sufficient laboratory measurements for feature </w:t>
      </w:r>
      <w:r>
        <w:br/>
      </w:r>
      <w:r>
        <w:rPr>
          <w:spacing w:val="-10"/>
          <w:w w:val="98.9261531829834"/>
          <w:rFonts w:ascii="URWPalladioL" w:hAnsi="URWPalladioL" w:eastAsia="URWPalladioL"/>
          <w:color w:val="000000"/>
          <w:sz w:val="20"/>
        </w:rPr>
        <w:t xml:space="preserve">extraction. The resulting horizon-specific analytical cohorts comprised 85 admissions from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61 unique patients at 12 h, 120 admissions from 72 patients at 18 h, and 143 admissions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from 79 patients at 24 h. These cohorts included 17, 18, and 21 ICD-coded sepsis-positive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admissions, respectively. The cohort constr</w:t>
      </w:r>
      <w:hyperlink r:id="rId76" w:history="1">
        <w:r>
          <w:rPr>
            <w:rStyle w:val="Hyperlink"/>
            <w:rFonts w:ascii="URWPalladioL" w:hAnsi="URWPalladioL" w:eastAsia="URWPalladioL" w:cs="URWPalladioL"/>
            <w:sz w:val="19.93515968322754"/>
            <w:color w:val="000000"/>
            <w:spacing w:val="-10"/>
          </w:rPr>
          <w:t>u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ction and derivation of the three observation-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window cohorts are summarized in Figure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76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256" w:lineRule="exact" w:before="5754" w:after="0"/>
        <w:ind w:left="3082" w:right="432" w:firstLine="6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Figure 1.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Cohort construction and observation-horizon analysis design. The source cohort com-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prised 275 hospital admissions from 100 unique patients. After laboratory availability screening,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243 admissions from 100 patients contained at least one of the five selected laboratory variables.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Laboratory-derived temporal features were constructed independently over cumulative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horizons of 0–12 h, 0–18 h, and 0–24 h after admission. The resulting analytical cohorts comprised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85 admissions from 61 patients (17 ICD-coded sepsis-positive admissions), 120 admissions from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72 patients (18 positive), and 143 admissions from 79 patients (21 positive), respectively. Patient-</w:t>
      </w:r>
      <w:r>
        <w:br/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 xml:space="preserve">grouped validation based on subject_id ensured that repeated admissions from the same patient were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not distributed across training and validation partitions.</w:t>
      </w:r>
    </w:p>
    <w:p>
      <w:pPr>
        <w:autoSpaceDN w:val="0"/>
        <w:autoSpaceDE w:val="0"/>
        <w:widowControl/>
        <w:spacing w:line="202" w:lineRule="exact" w:before="232" w:after="0"/>
        <w:ind w:left="0" w:right="6368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2.2. Outcome Definition</w:t>
      </w:r>
    </w:p>
    <w:p>
      <w:pPr>
        <w:autoSpaceDN w:val="0"/>
        <w:autoSpaceDE w:val="0"/>
        <w:widowControl/>
        <w:spacing w:line="280" w:lineRule="exact" w:before="58" w:after="0"/>
        <w:ind w:left="3088" w:right="432" w:firstLine="424"/>
        <w:jc w:val="left"/>
      </w:pPr>
      <w:r>
        <w:rPr>
          <w:spacing w:val="-10"/>
          <w:w w:val="98.72529029846191"/>
          <w:rFonts w:ascii="URWPalladioL" w:hAnsi="URWPalladioL" w:eastAsia="URWPalladioL"/>
          <w:color w:val="000000"/>
          <w:sz w:val="20"/>
        </w:rPr>
        <w:t xml:space="preserve">Sepsis status was defined at the hospital-admission level using diagnosis codes recorded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in the MIMIC-IV diagnoses_icd table. For admission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i</w:t>
      </w:r>
      <w:r>
        <w:rPr>
          <w:spacing w:val="-10"/>
          <w:rFonts w:ascii="URWPalladioL" w:hAnsi="URWPalladioL" w:eastAsia="URWPalladioL"/>
          <w:color w:val="000000"/>
          <w:sz w:val="20"/>
        </w:rPr>
        <w:t>, the binary phenotype was defined as</w:t>
      </w:r>
    </w:p>
    <w:p>
      <w:pPr>
        <w:autoSpaceDN w:val="0"/>
        <w:autoSpaceDE w:val="0"/>
        <w:widowControl/>
        <w:spacing w:line="160" w:lineRule="exact" w:before="84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622300</wp:posOffset>
            </wp:positionH>
            <wp:positionV relativeFrom="page">
              <wp:posOffset>4216400</wp:posOffset>
            </wp:positionV>
            <wp:extent cx="6311900" cy="29019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29019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57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4 of 19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960" w:type="dxa"/>
      </w:tblPr>
      <w:tblGrid>
        <w:gridCol w:w="2540" w:type="dxa"/>
        <w:gridCol w:w="420" w:type="dxa"/>
        <w:gridCol w:w="5380" w:type="dxa"/>
        <w:gridCol w:w="880" w:type="dxa"/>
      </w:tblGrid>
      <w:tr>
        <w:trPr>
          <w:trHeight w:hRule="exact" w:val="265"/>
        </w:trPr>
        <w:tc>
          <w:tcPr>
            <w:tcW w:type="dxa" w:w="25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0" w:lineRule="exact" w:before="198" w:after="0"/>
              <w:ind w:left="0" w:right="152" w:firstLine="0"/>
              <w:jc w:val="right"/>
            </w:pP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Y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15"/>
              </w:rPr>
              <w:t>i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=</w:t>
            </w:r>
          </w:p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1,</w:t>
            </w:r>
          </w:p>
        </w:tc>
        <w:tc>
          <w:tcPr>
            <w:tcW w:type="dxa" w:w="5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3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if admission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 xml:space="preserve"> i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 xml:space="preserve"> contained a prespecified ICD sepsis code</w:t>
            </w:r>
          </w:p>
        </w:tc>
        <w:tc>
          <w:tcPr>
            <w:tcW w:type="dxa" w:w="8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194" w:after="0"/>
              <w:ind w:left="0" w:right="21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(1)</w:t>
            </w:r>
          </w:p>
        </w:tc>
      </w:tr>
      <w:tr>
        <w:trPr>
          <w:trHeight w:hRule="exact" w:val="309"/>
        </w:trPr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8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0,</w:t>
            </w:r>
          </w:p>
        </w:tc>
        <w:tc>
          <w:tcPr>
            <w:tcW w:type="dxa" w:w="5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72" w:after="0"/>
              <w:ind w:left="13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otherwise.</w:t>
            </w:r>
          </w:p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02" w:lineRule="exact" w:before="264" w:after="0"/>
        <w:ind w:left="0" w:right="480" w:firstLine="0"/>
        <w:jc w:val="right"/>
      </w:pPr>
      <w:r>
        <w:rPr>
          <w:spacing w:val="-10"/>
          <w:w w:val="98.82577896118164"/>
          <w:rFonts w:ascii="URWPalladioL" w:hAnsi="URWPalladioL" w:eastAsia="URWPalladioL"/>
          <w:color w:val="000000"/>
          <w:sz w:val="20"/>
        </w:rPr>
        <w:t>The ICD-9-CM codes observed and included in the phenotype were 78552, 99591, and</w:t>
      </w:r>
    </w:p>
    <w:p>
      <w:pPr>
        <w:autoSpaceDN w:val="0"/>
        <w:autoSpaceDE w:val="0"/>
        <w:widowControl/>
        <w:spacing w:line="176" w:lineRule="exact" w:before="76" w:after="0"/>
        <w:ind w:left="0" w:right="4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99592, while the ICD-10-CM codes were A408, A4102, A4151, A4189, A419, R6520, and</w:t>
      </w:r>
    </w:p>
    <w:p>
      <w:pPr>
        <w:autoSpaceDN w:val="0"/>
        <w:autoSpaceDE w:val="0"/>
        <w:widowControl/>
        <w:spacing w:line="200" w:lineRule="exact" w:before="104" w:after="0"/>
        <w:ind w:left="0" w:right="4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R6521. This definition identified 24 ICD-coded sepsis admissions from 17 unique patients</w:t>
      </w:r>
    </w:p>
    <w:p>
      <w:pPr>
        <w:autoSpaceDN w:val="0"/>
        <w:autoSpaceDE w:val="0"/>
        <w:widowControl/>
        <w:spacing w:line="148" w:lineRule="exact" w:before="78" w:after="0"/>
        <w:ind w:left="0" w:right="655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in the source cohort.</w:t>
      </w:r>
    </w:p>
    <w:p>
      <w:pPr>
        <w:autoSpaceDN w:val="0"/>
        <w:autoSpaceDE w:val="0"/>
        <w:widowControl/>
        <w:spacing w:line="278" w:lineRule="exact" w:before="54" w:after="0"/>
        <w:ind w:left="3080" w:right="472" w:firstLine="424"/>
        <w:jc w:val="both"/>
      </w:pP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 xml:space="preserve">Lactate concentration was not included in the final outcome definition. The previously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considered lactate threshold of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≥</w:t>
      </w:r>
      <w:r>
        <w:rPr>
          <w:spacing w:val="-10"/>
          <w:rFonts w:ascii="URWPalladioL" w:hAnsi="URWPalladioL" w:eastAsia="URWPalladioL"/>
          <w:color w:val="000000"/>
          <w:sz w:val="20"/>
        </w:rPr>
        <w:t>2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mmol/L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was removed, and no AND/OR operator was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used to combine lactate with ICD-coded sepsis. Lactate and its derived temporal descriptors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were therefore used exclusively as predictors.</w:t>
      </w:r>
    </w:p>
    <w:p>
      <w:pPr>
        <w:autoSpaceDN w:val="0"/>
        <w:autoSpaceDE w:val="0"/>
        <w:widowControl/>
        <w:spacing w:line="278" w:lineRule="exact" w:before="0" w:after="0"/>
        <w:ind w:left="3088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Hospital admission was defined as the temporal origin 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=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0). Because the MIMIC-IV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Clinical Database Demo does not provide a sufficiently resolved timestamp for the ICD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diagnosis used in this study, sepsis status was not assigned to specific 12–24 h,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18–30 h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, or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24–36 h intervals. Accordingly, the analysis evaluates admission-level ICD-coded sepsis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classification using progressively longer laboratory observation horizons rather than pre-</w:t>
      </w:r>
      <w:r>
        <w:br/>
      </w:r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 xml:space="preserve">diction of a time-stamped future sepsis </w:t>
      </w:r>
      <w:hyperlink r:id="rId78" w:history="1">
        <w:r>
          <w:rPr>
            <w:rStyle w:val="Hyperlink"/>
            <w:rFonts w:ascii="URWPalladioL" w:hAnsi="URWPalladioL" w:eastAsia="URWPalladioL" w:cs="URWPalladioL"/>
            <w:sz w:val="19.755109786987305"/>
            <w:color w:val="000000"/>
            <w:w w:val="98.77554893493652"/>
            <w:spacing w:val="-10"/>
          </w:rPr>
          <w:t>ev</w:t>
        </w:r>
      </w:hyperlink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 xml:space="preserve">ent. An overview of the resulting MACD–SCDM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analysis framework is shown in Figure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78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2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256" w:lineRule="exact" w:before="4962" w:after="0"/>
        <w:ind w:left="3082" w:right="432" w:firstLine="0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Figure 2.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Overview of the MACD–SCDM framework for admission-level sepsis risk classification.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Laboratory measurements from the MIMIC-IV Clinical Database Demo (v2.2) were used to construct </w:t>
      </w:r>
      <w:r>
        <w:br/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>temporal predictors over cumulative observation horizons of 0–12 h, 0–18 h, and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0–24 h</w:t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 xml:space="preserve"> after admission. </w:t>
      </w:r>
      <w:r>
        <w:br/>
      </w:r>
      <w:r>
        <w:rPr>
          <w:spacing w:val="-10"/>
          <w:w w:val="98.97697236802843"/>
          <w:rFonts w:ascii="URWPalladioL" w:hAnsi="URWPalladioL" w:eastAsia="URWPalladioL"/>
          <w:color w:val="000000"/>
          <w:sz w:val="18"/>
        </w:rPr>
        <w:t xml:space="preserve">Temporal features comprised first-order statistics, trend, MACD-derived momentum descriptors,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SCDM short-term persistence. Sepsis status was defined independently at the hospital-admission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level using prespecified ICD diagnosis codes. HistGradientBoosting and Logistic Regression were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evaluated using repeated patient-grouped cross-validation based on subject_id. Model assessment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included discrimination, feature-set ablation, and permutation-importance analyses.</w:t>
      </w:r>
    </w:p>
    <w:p>
      <w:pPr>
        <w:autoSpaceDN w:val="0"/>
        <w:autoSpaceDE w:val="0"/>
        <w:widowControl/>
        <w:spacing w:line="200" w:lineRule="exact" w:before="230" w:after="0"/>
        <w:ind w:left="0" w:right="5550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2.3. Temporal Signal Construction</w:t>
      </w:r>
    </w:p>
    <w:p>
      <w:pPr>
        <w:autoSpaceDN w:val="0"/>
        <w:autoSpaceDE w:val="0"/>
        <w:widowControl/>
        <w:spacing w:line="278" w:lineRule="exact" w:before="62" w:after="0"/>
        <w:ind w:left="3082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Raw laboratory measurements were irregularly sampled across hospital admissions.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For each admission, measurements of lactate, creatinine, white blood cell count (WBC),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platelet count, and international normalized ratio (INR) were organized chronologically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and restricted to the corresponding observation horizon: 0–12 h, 0–18 h, or 0–24 h after </w:t>
      </w:r>
      <w:r>
        <w:br/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 xml:space="preserve">admission. Only measurements occurring within the designated observation horizon were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used for temporal feature construction.</w:t>
      </w:r>
    </w:p>
    <w:p>
      <w:pPr>
        <w:autoSpaceDN w:val="0"/>
        <w:autoSpaceDE w:val="0"/>
        <w:widowControl/>
        <w:spacing w:line="160" w:lineRule="exact" w:before="54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3900170</wp:posOffset>
            </wp:positionH>
            <wp:positionV relativeFrom="page">
              <wp:posOffset>8192770</wp:posOffset>
            </wp:positionV>
            <wp:extent cx="131317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31317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3915410</wp:posOffset>
            </wp:positionH>
            <wp:positionV relativeFrom="page">
              <wp:posOffset>8360409</wp:posOffset>
            </wp:positionV>
            <wp:extent cx="30352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352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5808980</wp:posOffset>
            </wp:positionH>
            <wp:positionV relativeFrom="page">
              <wp:posOffset>8187690</wp:posOffset>
            </wp:positionV>
            <wp:extent cx="109601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5824220</wp:posOffset>
            </wp:positionH>
            <wp:positionV relativeFrom="page">
              <wp:posOffset>8360409</wp:posOffset>
            </wp:positionV>
            <wp:extent cx="8508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5 of 19</w:t>
      </w:r>
    </w:p>
    <w:p>
      <w:pPr>
        <w:autoSpaceDN w:val="0"/>
        <w:autoSpaceDE w:val="0"/>
        <w:widowControl/>
        <w:spacing w:line="278" w:lineRule="exact" w:before="536" w:after="0"/>
        <w:ind w:left="3080" w:right="432" w:firstLine="43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For each admission and laboratory variable, measurements within the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window were aligned to an hourly time grid. Missing hourly values within the available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trajectory were handled by forward filling after temporal alignment, thereby allowing </w:t>
      </w:r>
      <w:r>
        <w:br/>
      </w:r>
      <w:r>
        <w:rPr>
          <w:spacing w:val="-10"/>
          <w:w w:val="98.67501258850098"/>
          <w:rFonts w:ascii="URWPalladioL" w:hAnsi="URWPalladioL" w:eastAsia="URWPalladioL"/>
          <w:color w:val="000000"/>
          <w:sz w:val="20"/>
        </w:rPr>
        <w:t xml:space="preserve">irregularly sampled laboratory measurements to be represented on a common hourly scale.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No additional outlier removal was applied, so observed laboratory values were retained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prior to temporal feature extraction.</w:t>
      </w:r>
    </w:p>
    <w:p>
      <w:pPr>
        <w:autoSpaceDN w:val="0"/>
        <w:autoSpaceDE w:val="0"/>
        <w:widowControl/>
        <w:spacing w:line="210" w:lineRule="exact" w:before="68" w:after="0"/>
        <w:ind w:left="0" w:right="31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Let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x</w:t>
      </w:r>
      <w:r>
        <w:rPr>
          <w:spacing w:val="-10"/>
          <w:rFonts w:ascii="URWPalladioL" w:hAnsi="URWPalladioL" w:eastAsia="URWPalladioL"/>
          <w:i/>
          <w:color w:val="000000"/>
          <w:sz w:val="15"/>
        </w:rPr>
        <w:t>s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denote the time series of laboratory signal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s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:</w:t>
      </w:r>
    </w:p>
    <w:p>
      <w:pPr>
        <w:autoSpaceDN w:val="0"/>
        <w:tabs>
          <w:tab w:pos="10734" w:val="left"/>
        </w:tabs>
        <w:autoSpaceDE w:val="0"/>
        <w:widowControl/>
        <w:spacing w:line="208" w:lineRule="exact" w:before="302" w:after="0"/>
        <w:ind w:left="5296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s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∈{</w:t>
      </w:r>
      <w:r>
        <w:rPr>
          <w:spacing w:val="-10"/>
          <w:rFonts w:ascii="URWPalladioL" w:hAnsi="URWPalladioL" w:eastAsia="URWPalladioL"/>
          <w:color w:val="000000"/>
          <w:sz w:val="20"/>
        </w:rPr>
        <w:t>lactate, creatinine, WBC, platelets, INR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>}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,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(2)</w:t>
      </w:r>
    </w:p>
    <w:p>
      <w:pPr>
        <w:autoSpaceDN w:val="0"/>
        <w:autoSpaceDE w:val="0"/>
        <w:widowControl/>
        <w:spacing w:line="202" w:lineRule="exact" w:before="310" w:after="0"/>
        <w:ind w:left="0" w:right="15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where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t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denotes elapsed time within the corresponding observation window.</w:t>
      </w:r>
    </w:p>
    <w:p>
      <w:pPr>
        <w:autoSpaceDN w:val="0"/>
        <w:autoSpaceDE w:val="0"/>
        <w:widowControl/>
        <w:spacing w:line="278" w:lineRule="exact" w:before="0" w:after="0"/>
        <w:ind w:left="3516" w:right="1440" w:hanging="2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The following notation is used for the temporal descriptors:</w:t>
      </w:r>
      <w:r>
        <w:br/>
      </w:r>
      <w:r>
        <w:rPr>
          <w:spacing w:val="-10"/>
          <w:rFonts w:ascii="PazoMath" w:hAnsi="PazoMath" w:eastAsia="PazoMath"/>
          <w:i/>
          <w:color w:val="000000"/>
          <w:sz w:val="20"/>
        </w:rPr>
        <w:t>τ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: window length used for the exponential moving average (EMA); </w:t>
      </w:r>
      <w:r>
        <w:br/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k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: autocorrelation lag, with k = 1 used in the present implementation;</w:t>
      </w:r>
      <w:r>
        <w:br/>
      </w:r>
      <w:r>
        <w:rPr>
          <w:spacing w:val="-10"/>
          <w:rFonts w:ascii="PazoMath" w:hAnsi="PazoMath" w:eastAsia="PazoMath"/>
          <w:i/>
          <w:color w:val="000000"/>
          <w:sz w:val="20"/>
        </w:rPr>
        <w:t>ρ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color w:val="000000"/>
          <w:sz w:val="20"/>
        </w:rPr>
        <w:t>1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: Pearson autocorrelation between consecutive hourly observations.</w:t>
      </w:r>
    </w:p>
    <w:p>
      <w:pPr>
        <w:autoSpaceDN w:val="0"/>
        <w:autoSpaceDE w:val="0"/>
        <w:widowControl/>
        <w:spacing w:line="278" w:lineRule="exact" w:before="0" w:after="0"/>
        <w:ind w:left="3080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MACD descriptors were calculated using short- and longer-term exponential mov-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ing averages with spans of 3 and 6 hourly observations, respectively, together with a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2-observation EMA signal line. These shorter spans were selected for the present demon-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stration analysis because the evaluated laboratory trajectories were relatively short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frequently contained few repeated observations. The exponential moving averages were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calculated using the pandas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ewm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()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implementation with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adjust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=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False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, with recursive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weighting initialized from the first available value of each laboratory trajectory.</w:t>
      </w:r>
    </w:p>
    <w:p>
      <w:pPr>
        <w:autoSpaceDN w:val="0"/>
        <w:autoSpaceDE w:val="0"/>
        <w:widowControl/>
        <w:spacing w:line="278" w:lineRule="exact" w:before="0" w:after="0"/>
        <w:ind w:left="3082" w:right="480" w:firstLine="432"/>
        <w:jc w:val="both"/>
      </w:pPr>
      <w:r>
        <w:rPr>
          <w:spacing w:val="-10"/>
          <w:w w:val="98.72529029846191"/>
          <w:rFonts w:ascii="URWPalladioL" w:hAnsi="URWPalladioL" w:eastAsia="URWPalladioL"/>
          <w:color w:val="000000"/>
          <w:sz w:val="20"/>
        </w:rPr>
        <w:t xml:space="preserve">Temporal persistence was represented by the SCDM descriptor, operationalized in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present implementation as the lag-1 Pearson autocorrelation,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ρ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color w:val="000000"/>
          <w:sz w:val="20"/>
        </w:rPr>
        <w:t>1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, between consecutive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hourly observations. Thus, SCDM quantified short-term temporal persistence rather than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decay across multiple autocorrelation lags. Admissions without sufficient observations to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calculate the required temporal descriptors for a given observation horizon were excluded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from that</w:t>
      </w:r>
      <w:hyperlink r:id="rId80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 xml:space="preserve"> co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nfiguration, resulting in the horizon-specific analytical cohorts described</w:t>
      </w:r>
    </w:p>
    <w:p>
      <w:pPr>
        <w:autoSpaceDN w:val="0"/>
        <w:autoSpaceDE w:val="0"/>
        <w:widowControl/>
        <w:spacing w:line="146" w:lineRule="exact" w:before="80" w:after="0"/>
        <w:ind w:left="0" w:right="713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in Section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0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2.1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198" w:lineRule="exact" w:before="324" w:after="0"/>
        <w:ind w:left="0" w:right="6326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2.4. Feature Engineering</w:t>
      </w:r>
    </w:p>
    <w:p>
      <w:pPr>
        <w:autoSpaceDN w:val="0"/>
        <w:autoSpaceDE w:val="0"/>
        <w:widowControl/>
        <w:spacing w:line="278" w:lineRule="exact" w:before="62" w:after="0"/>
        <w:ind w:left="307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For each laboratory trajectory, temporal features were extracted from measurements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contained exclusively within the corresponding observation window (0–12 h, 0–18 h, or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0–24 h). The feature-engineering procedure was applied independently to lactate, creatinine,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WBC, platelet count, and INR. The engineered descriptors were designed to characterize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complementary properties of each trajectory, including its overall level, temporal trend,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short-term variability, momentum, and temporal persistence.</w:t>
      </w:r>
    </w:p>
    <w:p>
      <w:pPr>
        <w:autoSpaceDN w:val="0"/>
        <w:autoSpaceDE w:val="0"/>
        <w:widowControl/>
        <w:spacing w:line="200" w:lineRule="exact" w:before="270" w:after="0"/>
        <w:ind w:left="0" w:right="495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2.4.1. First-Order Statistics Descriptors</w:t>
      </w:r>
    </w:p>
    <w:p>
      <w:pPr>
        <w:autoSpaceDN w:val="0"/>
        <w:autoSpaceDE w:val="0"/>
        <w:widowControl/>
        <w:spacing w:line="210" w:lineRule="exact" w:before="130" w:after="0"/>
        <w:ind w:left="0" w:right="4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For an hourly laboratory trajectory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x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containing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T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observations, the mean and</w:t>
      </w:r>
    </w:p>
    <w:p>
      <w:pPr>
        <w:autoSpaceDN w:val="0"/>
        <w:autoSpaceDE w:val="0"/>
        <w:widowControl/>
        <w:spacing w:line="148" w:lineRule="exact" w:before="78" w:after="252"/>
        <w:ind w:left="0" w:right="496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standard deviation were calculated as: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580" w:type="dxa"/>
      </w:tblPr>
      <w:tblGrid>
        <w:gridCol w:w="2420" w:type="dxa"/>
        <w:gridCol w:w="1780" w:type="dxa"/>
        <w:gridCol w:w="3000" w:type="dxa"/>
        <w:gridCol w:w="2400" w:type="dxa"/>
      </w:tblGrid>
      <w:tr>
        <w:trPr>
          <w:trHeight w:hRule="exact" w:val="530"/>
        </w:trPr>
        <w:tc>
          <w:tcPr>
            <w:tcW w:type="dxa" w:w="2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8" w:lineRule="exact" w:before="0" w:after="0"/>
              <w:ind w:left="0" w:right="10" w:firstLine="0"/>
              <w:jc w:val="right"/>
            </w:pPr>
            <w:r>
              <w:rPr>
                <w:spacing w:val="-10"/>
                <w:rFonts w:ascii="PazoMath" w:hAnsi="PazoMath" w:eastAsia="PazoMath"/>
                <w:i/>
                <w:color w:val="000000"/>
                <w:sz w:val="20"/>
              </w:rPr>
              <w:t>µ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=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  <w:u w:val="single"/>
              </w:rPr>
              <w:t xml:space="preserve">1 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T</w:t>
            </w:r>
            <w:r>
              <w:rPr>
                <w:spacing w:val="-10"/>
                <w:rFonts w:ascii="PazoMath" w:hAnsi="PazoMath" w:eastAsia="PazoMath"/>
                <w:color w:val="000000"/>
                <w:sz w:val="28"/>
              </w:rPr>
              <w:t>∑</w:t>
            </w:r>
          </w:p>
        </w:tc>
        <w:tc>
          <w:tcPr>
            <w:tcW w:type="dxa" w:w="1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78" w:after="0"/>
              <w:ind w:left="2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i/>
                <w:color w:val="000000"/>
                <w:sz w:val="15"/>
              </w:rPr>
              <w:t>t</w:t>
            </w:r>
            <w:r>
              <w:rPr>
                <w:spacing w:val="-10"/>
                <w:w w:val="98.61999750137329"/>
                <w:rFonts w:ascii="CMR10" w:hAnsi="CMR10" w:eastAsia="CMR10"/>
                <w:color w:val="000000"/>
                <w:sz w:val="16"/>
              </w:rPr>
              <w:t>=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1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x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(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t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)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,</w:t>
            </w:r>
            <w:r>
              <w:rPr>
                <w:spacing w:val="-10"/>
                <w:rFonts w:ascii="PazoMath" w:hAnsi="PazoMath" w:eastAsia="PazoMath"/>
                <w:i/>
                <w:color w:val="000000"/>
                <w:sz w:val="20"/>
              </w:rPr>
              <w:t xml:space="preserve"> σ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sample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=</w:t>
            </w:r>
          </w:p>
        </w:tc>
        <w:tc>
          <w:tcPr>
            <w:tcW w:type="dxa" w:w="3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0" w:after="0"/>
              <w:ind w:left="33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  <w:p>
            <w:pPr>
              <w:autoSpaceDN w:val="0"/>
              <w:autoSpaceDE w:val="0"/>
              <w:widowControl/>
              <w:spacing w:line="312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T</w:t>
            </w:r>
            <w:r>
              <w:rPr>
                <w:spacing w:val="-10"/>
                <w:w w:val="98.86761619931175"/>
                <w:rFonts w:ascii="CMSY10" w:hAnsi="CMSY10" w:eastAsia="CMSY10"/>
                <w:i/>
                <w:color w:val="000000"/>
                <w:sz w:val="21"/>
              </w:rPr>
              <w:t xml:space="preserve"> −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  <w:r>
              <w:rPr>
                <w:spacing w:val="-10"/>
                <w:rFonts w:ascii="PazoMath" w:hAnsi="PazoMath" w:eastAsia="PazoMath"/>
                <w:color w:val="000000"/>
                <w:sz w:val="28"/>
              </w:rPr>
              <w:t>∑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15"/>
              </w:rPr>
              <w:t xml:space="preserve">T 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15"/>
              </w:rPr>
              <w:t>t</w:t>
            </w:r>
            <w:r>
              <w:rPr>
                <w:spacing w:val="-10"/>
                <w:w w:val="98.61999750137329"/>
                <w:rFonts w:ascii="CMR10" w:hAnsi="CMR10" w:eastAsia="CMR10"/>
                <w:color w:val="000000"/>
                <w:sz w:val="16"/>
              </w:rPr>
              <w:t>=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1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(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x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(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t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)</w:t>
            </w:r>
            <w:r>
              <w:rPr>
                <w:spacing w:val="-10"/>
                <w:w w:val="98.86761619931175"/>
                <w:rFonts w:ascii="CMSY10" w:hAnsi="CMSY10" w:eastAsia="CMSY10"/>
                <w:i/>
                <w:color w:val="000000"/>
                <w:sz w:val="21"/>
              </w:rPr>
              <w:t xml:space="preserve"> −</w:t>
            </w:r>
            <w:r>
              <w:rPr>
                <w:spacing w:val="-10"/>
                <w:rFonts w:ascii="PazoMath" w:hAnsi="PazoMath" w:eastAsia="PazoMath"/>
                <w:i/>
                <w:color w:val="000000"/>
                <w:sz w:val="20"/>
              </w:rPr>
              <w:t>µ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)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2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,</w:t>
            </w:r>
            <w:r>
              <w:rPr>
                <w:spacing w:val="-10"/>
                <w:rFonts w:ascii="PazoMath" w:hAnsi="PazoMath" w:eastAsia="PazoMath"/>
                <w:i/>
                <w:color w:val="000000"/>
                <w:sz w:val="20"/>
              </w:rPr>
              <w:t xml:space="preserve"> σ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vol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=</w:t>
            </w:r>
          </w:p>
        </w:tc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0" w:after="0"/>
              <w:ind w:left="170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  <w:p>
            <w:pPr>
              <w:autoSpaceDN w:val="0"/>
              <w:autoSpaceDE w:val="0"/>
              <w:widowControl/>
              <w:spacing w:line="312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T</w:t>
            </w:r>
            <w:r>
              <w:rPr>
                <w:spacing w:val="-10"/>
                <w:rFonts w:ascii="PazoMath" w:hAnsi="PazoMath" w:eastAsia="PazoMath"/>
                <w:color w:val="000000"/>
                <w:sz w:val="28"/>
              </w:rPr>
              <w:t>∑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15"/>
              </w:rPr>
              <w:t xml:space="preserve">T 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15"/>
              </w:rPr>
              <w:t>t</w:t>
            </w:r>
            <w:r>
              <w:rPr>
                <w:spacing w:val="-10"/>
                <w:w w:val="98.61999750137329"/>
                <w:rFonts w:ascii="CMR10" w:hAnsi="CMR10" w:eastAsia="CMR10"/>
                <w:color w:val="000000"/>
                <w:sz w:val="16"/>
              </w:rPr>
              <w:t>=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1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(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x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(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t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)</w:t>
            </w:r>
            <w:r>
              <w:rPr>
                <w:spacing w:val="-10"/>
                <w:w w:val="98.86761619931175"/>
                <w:rFonts w:ascii="CMSY10" w:hAnsi="CMSY10" w:eastAsia="CMSY10"/>
                <w:i/>
                <w:color w:val="000000"/>
                <w:sz w:val="21"/>
              </w:rPr>
              <w:t xml:space="preserve"> −</w:t>
            </w:r>
            <w:r>
              <w:rPr>
                <w:spacing w:val="-10"/>
                <w:rFonts w:ascii="PazoMath" w:hAnsi="PazoMath" w:eastAsia="PazoMath"/>
                <w:i/>
                <w:color w:val="000000"/>
                <w:sz w:val="20"/>
              </w:rPr>
              <w:t>µ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)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2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 xml:space="preserve"> (3)</w:t>
            </w:r>
          </w:p>
        </w:tc>
      </w:tr>
    </w:tbl>
    <w:p>
      <w:pPr>
        <w:autoSpaceDN w:val="0"/>
        <w:autoSpaceDE w:val="0"/>
        <w:widowControl/>
        <w:spacing w:line="278" w:lineRule="exact" w:before="138" w:after="0"/>
        <w:ind w:left="3082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Minimum and maximum values were additionally extracted to characterize the ob-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served range of each laboratory trajectory. In Equation (3),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σ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sample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denotes the sample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standard deviation, calculated using the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T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−</w:t>
      </w:r>
      <w:r>
        <w:rPr>
          <w:spacing w:val="-10"/>
          <w:rFonts w:ascii="URWPalladioL" w:hAnsi="URWPalladioL" w:eastAsia="URWPalladioL"/>
          <w:color w:val="000000"/>
          <w:sz w:val="20"/>
        </w:rPr>
        <w:t>1 denominator, whereas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σ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vol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denotes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population standard deviation used as the volatility descriptor, calculated using the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denominator. Although both descriptors quantify dispersion and are mathematically re-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lated, they were retained as separate features to preserve consistency with the predefined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temporal representation used throughout the analyses.</w:t>
      </w:r>
    </w:p>
    <w:p>
      <w:pPr>
        <w:autoSpaceDN w:val="0"/>
        <w:autoSpaceDE w:val="0"/>
        <w:widowControl/>
        <w:spacing w:line="160" w:lineRule="exact" w:before="602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2689860</wp:posOffset>
            </wp:positionH>
            <wp:positionV relativeFrom="page">
              <wp:posOffset>3983990</wp:posOffset>
            </wp:positionV>
            <wp:extent cx="18287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6 of 19</w:t>
      </w:r>
    </w:p>
    <w:p>
      <w:pPr>
        <w:autoSpaceDN w:val="0"/>
        <w:autoSpaceDE w:val="0"/>
        <w:widowControl/>
        <w:spacing w:line="148" w:lineRule="exact" w:before="614" w:after="0"/>
        <w:ind w:left="0" w:right="6314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2.4.2. Trend Estimation</w:t>
      </w:r>
    </w:p>
    <w:p>
      <w:pPr>
        <w:autoSpaceDN w:val="0"/>
        <w:tabs>
          <w:tab w:pos="3514" w:val="left"/>
        </w:tabs>
        <w:autoSpaceDE w:val="0"/>
        <w:widowControl/>
        <w:spacing w:line="278" w:lineRule="exact" w:before="114" w:after="0"/>
        <w:ind w:left="3088" w:right="432" w:firstLine="0"/>
        <w:jc w:val="left"/>
      </w:pP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temporal trend of each laboratory trajectory was characterized using the slope of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 ordinary least-squares linear regression:</w:t>
      </w:r>
    </w:p>
    <w:p>
      <w:pPr>
        <w:autoSpaceDN w:val="0"/>
        <w:tabs>
          <w:tab w:pos="10734" w:val="left"/>
        </w:tabs>
        <w:autoSpaceDE w:val="0"/>
        <w:widowControl/>
        <w:spacing w:line="210" w:lineRule="exact" w:before="240" w:after="0"/>
        <w:ind w:left="614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x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 =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β</w:t>
      </w:r>
      <w:r>
        <w:rPr>
          <w:spacing w:val="-10"/>
          <w:rFonts w:ascii="URWPalladioL" w:hAnsi="URWPalladioL" w:eastAsia="URWPalladioL"/>
          <w:color w:val="000000"/>
          <w:sz w:val="15"/>
        </w:rPr>
        <w:t>0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+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β</w:t>
      </w:r>
      <w:r>
        <w:rPr>
          <w:spacing w:val="-10"/>
          <w:rFonts w:ascii="URWPalladioL" w:hAnsi="URWPalladioL" w:eastAsia="URWPalladioL"/>
          <w:color w:val="000000"/>
          <w:sz w:val="15"/>
        </w:rPr>
        <w:t>1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+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ϵ</w:t>
      </w:r>
      <w:r>
        <w:rPr>
          <w:spacing w:val="-10"/>
          <w:rFonts w:ascii="URWPalladioL" w:hAnsi="URWPalladioL" w:eastAsia="URWPalladioL"/>
          <w:i/>
          <w:color w:val="000000"/>
          <w:sz w:val="15"/>
        </w:rPr>
        <w:t xml:space="preserve">t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(4)</w:t>
      </w:r>
    </w:p>
    <w:p>
      <w:pPr>
        <w:autoSpaceDN w:val="0"/>
        <w:autoSpaceDE w:val="0"/>
        <w:widowControl/>
        <w:spacing w:line="278" w:lineRule="exact" w:before="234" w:after="0"/>
        <w:ind w:left="3088" w:right="480" w:hanging="8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>where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β</w:t>
      </w:r>
      <w:r>
        <w:rPr>
          <w:spacing w:val="-10"/>
          <w:rFonts w:ascii="URWPalladioL" w:hAnsi="URWPalladioL" w:eastAsia="URWPalladioL"/>
          <w:color w:val="000000"/>
          <w:sz w:val="20"/>
        </w:rPr>
        <w:t>0 is the intercept,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β</w:t>
      </w:r>
      <w:r>
        <w:rPr>
          <w:spacing w:val="-10"/>
          <w:rFonts w:ascii="URWPalladioL" w:hAnsi="URWPalladioL" w:eastAsia="URWPalladioL"/>
          <w:color w:val="000000"/>
          <w:sz w:val="20"/>
        </w:rPr>
        <w:t>1 represents the estimated temporal slope, and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ϵ</w:t>
      </w:r>
      <w:r>
        <w:rPr>
          <w:spacing w:val="-10"/>
          <w:rFonts w:ascii="URWPalladioL" w:hAnsi="URWPalladioL" w:eastAsia="URWPalladioL"/>
          <w:i/>
          <w:color w:val="000000"/>
          <w:sz w:val="15"/>
        </w:rPr>
        <w:t>t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denotes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the residual error. Positive and negative values of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β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1 therefore represent increasing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decreasing laboratory trajectories, respectively.</w:t>
      </w:r>
    </w:p>
    <w:p>
      <w:pPr>
        <w:autoSpaceDN w:val="0"/>
        <w:autoSpaceDE w:val="0"/>
        <w:widowControl/>
        <w:spacing w:line="188" w:lineRule="exact" w:before="270" w:after="0"/>
        <w:ind w:left="0" w:right="5166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2.4.3. Momentum Features (MACD)</w:t>
      </w:r>
    </w:p>
    <w:p>
      <w:pPr>
        <w:autoSpaceDN w:val="0"/>
        <w:autoSpaceDE w:val="0"/>
        <w:widowControl/>
        <w:spacing w:line="280" w:lineRule="exact" w:before="72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Temporal momentum was characterized using the Moving Average Convergence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Divergence (MACD), adapted here as a signal-processing descriptor of short- versus longer-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term changes in laboratory trajectories.</w:t>
      </w:r>
    </w:p>
    <w:p>
      <w:pPr>
        <w:autoSpaceDN w:val="0"/>
        <w:tabs>
          <w:tab w:pos="3514" w:val="left"/>
        </w:tabs>
        <w:autoSpaceDE w:val="0"/>
        <w:widowControl/>
        <w:spacing w:line="278" w:lineRule="exact" w:before="0" w:after="0"/>
        <w:ind w:left="3088" w:right="432" w:firstLine="0"/>
        <w:jc w:val="left"/>
      </w:pPr>
      <w:r>
        <w:tab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For an hourly signal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x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, the exponential moving average with span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τ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was recursively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defined as:</w:t>
      </w:r>
    </w:p>
    <w:p>
      <w:pPr>
        <w:autoSpaceDN w:val="0"/>
        <w:tabs>
          <w:tab w:pos="10734" w:val="left"/>
        </w:tabs>
        <w:autoSpaceDE w:val="0"/>
        <w:widowControl/>
        <w:spacing w:line="206" w:lineRule="exact" w:before="10" w:after="122"/>
        <w:ind w:left="5202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EMA</w:t>
      </w:r>
      <w:r>
        <w:rPr>
          <w:spacing w:val="-10"/>
          <w:rFonts w:ascii="EURM7" w:hAnsi="EURM7" w:eastAsia="EURM7"/>
          <w:color w:val="000000"/>
          <w:sz w:val="15"/>
        </w:rPr>
        <w:t>τ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 =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α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x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 + (</w:t>
      </w:r>
      <w:r>
        <w:rPr>
          <w:spacing w:val="-10"/>
          <w:rFonts w:ascii="URWPalladioL" w:hAnsi="URWPalladioL" w:eastAsia="URWPalladioL"/>
          <w:color w:val="000000"/>
          <w:sz w:val="20"/>
        </w:rPr>
        <w:t>1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−</w:t>
      </w:r>
      <w:r>
        <w:rPr>
          <w:spacing w:val="-10"/>
          <w:rFonts w:ascii="PazoMath" w:hAnsi="PazoMath" w:eastAsia="PazoMath"/>
          <w:i/>
          <w:color w:val="000000"/>
          <w:sz w:val="20"/>
        </w:rPr>
        <w:t>α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rFonts w:ascii="URWPalladioL" w:hAnsi="URWPalladioL" w:eastAsia="URWPalladioL"/>
          <w:color w:val="000000"/>
          <w:sz w:val="20"/>
        </w:rPr>
        <w:t>EMA</w:t>
      </w:r>
      <w:r>
        <w:rPr>
          <w:spacing w:val="-10"/>
          <w:rFonts w:ascii="EURM7" w:hAnsi="EURM7" w:eastAsia="EURM7"/>
          <w:color w:val="000000"/>
          <w:sz w:val="15"/>
        </w:rPr>
        <w:t>τ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−</w:t>
      </w:r>
      <w:r>
        <w:rPr>
          <w:spacing w:val="-10"/>
          <w:rFonts w:ascii="URWPalladioL" w:hAnsi="URWPalladioL" w:eastAsia="URWPalladioL"/>
          <w:color w:val="000000"/>
          <w:sz w:val="20"/>
        </w:rPr>
        <w:t>1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)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(5)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540" w:type="dxa"/>
      </w:tblPr>
      <w:tblGrid>
        <w:gridCol w:w="2400" w:type="dxa"/>
        <w:gridCol w:w="3940" w:type="dxa"/>
      </w:tblGrid>
      <w:tr>
        <w:trPr>
          <w:trHeight w:hRule="exact" w:val="350"/>
        </w:trPr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98" w:after="0"/>
              <w:ind w:left="0" w:right="2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with</w:t>
            </w:r>
            <w:r>
              <w:rPr>
                <w:spacing w:val="-10"/>
                <w:rFonts w:ascii="PazoMath" w:hAnsi="PazoMath" w:eastAsia="PazoMath"/>
                <w:i/>
                <w:color w:val="000000"/>
                <w:sz w:val="20"/>
              </w:rPr>
              <w:t xml:space="preserve"> α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=</w:t>
            </w:r>
          </w:p>
        </w:tc>
        <w:tc>
          <w:tcPr>
            <w:tcW w:type="dxa" w:w="3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4" w:after="0"/>
              <w:ind w:left="0" w:right="3456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2</w:t>
            </w:r>
            <w:r>
              <w:br/>
            </w:r>
            <w:r>
              <w:rPr>
                <w:spacing w:val="-10"/>
                <w:rFonts w:ascii="PazoMath" w:hAnsi="PazoMath" w:eastAsia="PazoMath"/>
                <w:i/>
                <w:color w:val="000000"/>
                <w:sz w:val="15"/>
              </w:rPr>
              <w:t>τ</w:t>
            </w:r>
            <w:r>
              <w:rPr>
                <w:spacing w:val="-10"/>
                <w:w w:val="98.61999750137329"/>
                <w:rFonts w:ascii="CMR10" w:hAnsi="CMR10" w:eastAsia="CMR10"/>
                <w:color w:val="000000"/>
                <w:sz w:val="16"/>
              </w:rPr>
              <w:t>+</w:t>
            </w:r>
            <w:r>
              <w:rPr>
                <w:spacing w:val="-10"/>
                <w:rFonts w:ascii="URWPalladioL" w:hAnsi="URWPalladioL" w:eastAsia="URWPalladioL"/>
                <w:color w:val="000000"/>
                <w:sz w:val="15"/>
              </w:rPr>
              <w:t>1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.</w:t>
            </w:r>
          </w:p>
        </w:tc>
      </w:tr>
    </w:tbl>
    <w:p>
      <w:pPr>
        <w:autoSpaceDN w:val="0"/>
        <w:tabs>
          <w:tab w:pos="3514" w:val="left"/>
        </w:tabs>
        <w:autoSpaceDE w:val="0"/>
        <w:widowControl/>
        <w:spacing w:line="254" w:lineRule="exact" w:before="0" w:after="0"/>
        <w:ind w:left="3088" w:right="432" w:firstLine="0"/>
        <w:jc w:val="left"/>
      </w:pP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The MACD trajectory was calculated as the difference between the short- and long-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span exponential moving averages:</w:t>
      </w:r>
    </w:p>
    <w:p>
      <w:pPr>
        <w:autoSpaceDN w:val="0"/>
        <w:tabs>
          <w:tab w:pos="10734" w:val="left"/>
        </w:tabs>
        <w:autoSpaceDE w:val="0"/>
        <w:widowControl/>
        <w:spacing w:line="208" w:lineRule="exact" w:before="240" w:after="0"/>
        <w:ind w:left="5090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MACD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 =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EMA</w:t>
      </w:r>
      <w:r>
        <w:rPr>
          <w:spacing w:val="-10"/>
          <w:rFonts w:ascii="URWPalladioL" w:hAnsi="URWPalladioL" w:eastAsia="URWPalladioL"/>
          <w:color w:val="000000"/>
          <w:sz w:val="15"/>
        </w:rPr>
        <w:t>3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−</w:t>
      </w:r>
      <w:r>
        <w:rPr>
          <w:spacing w:val="-10"/>
          <w:rFonts w:ascii="URWPalladioL" w:hAnsi="URWPalladioL" w:eastAsia="URWPalladioL"/>
          <w:color w:val="000000"/>
          <w:sz w:val="20"/>
        </w:rPr>
        <w:t>EMA</w:t>
      </w:r>
      <w:r>
        <w:rPr>
          <w:spacing w:val="-10"/>
          <w:rFonts w:ascii="URWPalladioL" w:hAnsi="URWPalladioL" w:eastAsia="URWPalladioL"/>
          <w:color w:val="000000"/>
          <w:sz w:val="15"/>
        </w:rPr>
        <w:t>6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τ</w:t>
      </w:r>
      <w:r>
        <w:rPr>
          <w:spacing w:val="-10"/>
          <w:rFonts w:ascii="URWPalladioL" w:hAnsi="URWPalladioL" w:eastAsia="URWPalladioL"/>
          <w:color w:val="000000"/>
          <w:sz w:val="15"/>
        </w:rPr>
        <w:t>1</w:t>
      </w:r>
      <w:r>
        <w:rPr>
          <w:spacing w:val="-10"/>
          <w:w w:val="98.86761619931175"/>
          <w:rFonts w:ascii="CMMI10" w:hAnsi="CMMI10" w:eastAsia="CMMI10"/>
          <w:i/>
          <w:color w:val="000000"/>
          <w:sz w:val="21"/>
        </w:rPr>
        <w:t xml:space="preserve"> &lt;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τ</w:t>
      </w:r>
      <w:r>
        <w:rPr>
          <w:spacing w:val="-10"/>
          <w:rFonts w:ascii="URWPalladioL" w:hAnsi="URWPalladioL" w:eastAsia="URWPalladioL"/>
          <w:color w:val="000000"/>
          <w:sz w:val="15"/>
        </w:rPr>
        <w:t xml:space="preserve">2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(6)</w:t>
      </w:r>
    </w:p>
    <w:p>
      <w:pPr>
        <w:autoSpaceDN w:val="0"/>
        <w:autoSpaceDE w:val="0"/>
        <w:widowControl/>
        <w:spacing w:line="278" w:lineRule="exact" w:before="236" w:after="0"/>
        <w:ind w:left="3088" w:right="472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2-observation exponential moving average of the MACD trajectory was subsequently </w:t>
      </w:r>
      <w:r>
        <w:br/>
      </w:r>
      <w:r>
        <w:rPr>
          <w:spacing w:val="-10"/>
          <w:w w:val="98.72529029846191"/>
          <w:rFonts w:ascii="URWPalladioL" w:hAnsi="URWPalladioL" w:eastAsia="URWPalladioL"/>
          <w:color w:val="000000"/>
          <w:sz w:val="20"/>
        </w:rPr>
        <w:t xml:space="preserve">used to obtain the MACD signal line, and the difference between the MACD trajectory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its signal line constituted the MACD histogram:</w:t>
      </w:r>
    </w:p>
    <w:p>
      <w:pPr>
        <w:autoSpaceDN w:val="0"/>
        <w:tabs>
          <w:tab w:pos="10734" w:val="left"/>
        </w:tabs>
        <w:autoSpaceDE w:val="0"/>
        <w:widowControl/>
        <w:spacing w:line="208" w:lineRule="exact" w:before="242" w:after="0"/>
        <w:ind w:left="3854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Signal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 =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EMA</w:t>
      </w:r>
      <w:r>
        <w:rPr>
          <w:spacing w:val="-10"/>
          <w:rFonts w:ascii="URWPalladioL" w:hAnsi="URWPalladioL" w:eastAsia="URWPalladioL"/>
          <w:color w:val="000000"/>
          <w:sz w:val="15"/>
        </w:rPr>
        <w:t>2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MACD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))</w:t>
      </w:r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Histogram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 =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MACD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−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Signal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)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(7)</w:t>
      </w:r>
    </w:p>
    <w:p>
      <w:pPr>
        <w:autoSpaceDN w:val="0"/>
        <w:autoSpaceDE w:val="0"/>
        <w:widowControl/>
        <w:spacing w:line="278" w:lineRule="exact" w:before="234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These descriptors were used to characterize differences between short- and longer-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term temporal behavior within each laboratory trajectory. The</w:t>
      </w:r>
      <w:hyperlink r:id="rId85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00000"/>
            <w:spacing w:val="-10"/>
          </w:rPr>
          <w:t xml:space="preserve"> E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MA calculations used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recursive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adjust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=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False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implementation described in Section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5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2.3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200" w:lineRule="exact" w:before="270" w:after="0"/>
        <w:ind w:left="0" w:right="451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2.4.4. SCDM Temporal Persistence Measure</w:t>
      </w:r>
    </w:p>
    <w:p>
      <w:pPr>
        <w:autoSpaceDN w:val="0"/>
        <w:autoSpaceDE w:val="0"/>
        <w:widowControl/>
        <w:spacing w:line="278" w:lineRule="exact" w:before="58" w:after="0"/>
        <w:ind w:left="3082" w:right="480" w:firstLine="432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Temporal dependence was represented using the Signal Correlation Decay Measure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(SCDM). In the present implementation, SCDM was operationalized using the Pearson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autocorrelation at lag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k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=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1:</w:t>
      </w:r>
    </w:p>
    <w:p>
      <w:pPr>
        <w:autoSpaceDN w:val="0"/>
        <w:tabs>
          <w:tab w:pos="10734" w:val="left"/>
        </w:tabs>
        <w:autoSpaceDE w:val="0"/>
        <w:widowControl/>
        <w:spacing w:line="210" w:lineRule="exact" w:before="68" w:after="0"/>
        <w:ind w:left="6382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SCDM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=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ρ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color w:val="000000"/>
          <w:sz w:val="20"/>
        </w:rPr>
        <w:t>1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)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(8)</w:t>
      </w:r>
    </w:p>
    <w:p>
      <w:pPr>
        <w:autoSpaceDN w:val="0"/>
        <w:autoSpaceDE w:val="0"/>
        <w:widowControl/>
        <w:spacing w:line="278" w:lineRule="exact" w:before="140" w:after="0"/>
        <w:ind w:left="3088" w:right="432" w:hanging="8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where</w:t>
      </w:r>
      <w:r>
        <w:rPr>
          <w:spacing w:val="-10"/>
          <w:rFonts w:ascii="PazoMath" w:hAnsi="PazoMath" w:eastAsia="PazoMath"/>
          <w:i/>
          <w:color w:val="000000"/>
          <w:sz w:val="20"/>
        </w:rPr>
        <w:t xml:space="preserve"> ρ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color w:val="000000"/>
          <w:sz w:val="20"/>
        </w:rPr>
        <w:t>1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represents the Pearson autocorrelation between consecutive hourly observations.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Higher positive values indicate stronger short-term temporal persistence, values near zero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indicate weak linear dependence between consecutive observations, and negative values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indicate inverse temporal dependence.</w:t>
      </w:r>
    </w:p>
    <w:p>
      <w:pPr>
        <w:autoSpaceDN w:val="0"/>
        <w:autoSpaceDE w:val="0"/>
        <w:widowControl/>
        <w:spacing w:line="278" w:lineRule="exact" w:before="0" w:after="0"/>
        <w:ind w:left="3088" w:right="432" w:firstLine="422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Although the general SCDM formulation can incorporate multiple autocorrelation lags, </w:t>
      </w:r>
      <w:r>
        <w:br/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k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=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1 was used in the present implementation because of the relatively short and sparsely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sampled laboratory trajectories available in the MIMIC-IV Demo cohort. Accordingly, SCDM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is interpreted throughout this study as a short-term temporal persistence descriptor, rather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than as an estimate of autocorrelation decay across multiple lags.</w:t>
      </w:r>
    </w:p>
    <w:p>
      <w:pPr>
        <w:autoSpaceDN w:val="0"/>
        <w:autoSpaceDE w:val="0"/>
        <w:widowControl/>
        <w:spacing w:line="200" w:lineRule="exact" w:before="272" w:after="0"/>
        <w:ind w:left="0" w:right="529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2.4.5. Final Feature Representation</w:t>
      </w:r>
    </w:p>
    <w:p>
      <w:pPr>
        <w:autoSpaceDN w:val="0"/>
        <w:tabs>
          <w:tab w:pos="3514" w:val="left"/>
        </w:tabs>
        <w:autoSpaceDE w:val="0"/>
        <w:widowControl/>
        <w:spacing w:line="278" w:lineRule="exact" w:before="60" w:after="0"/>
        <w:ind w:left="3088" w:right="432" w:firstLine="0"/>
        <w:jc w:val="left"/>
      </w:pP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The statistical, trend, MACD-based momentum, and SCDM-based persistence de-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scriptors were combined to construct the temporal feature representation for each hospital</w:t>
      </w:r>
    </w:p>
    <w:p>
      <w:pPr>
        <w:autoSpaceDN w:val="0"/>
        <w:autoSpaceDE w:val="0"/>
        <w:widowControl/>
        <w:spacing w:line="160" w:lineRule="exact" w:before="748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7 of 19</w:t>
      </w:r>
    </w:p>
    <w:p>
      <w:pPr>
        <w:autoSpaceDN w:val="0"/>
        <w:autoSpaceDE w:val="0"/>
        <w:widowControl/>
        <w:spacing w:line="280" w:lineRule="exact" w:before="534" w:after="0"/>
        <w:ind w:left="3082" w:right="472" w:firstLine="6"/>
        <w:jc w:val="both"/>
      </w:pPr>
      <w:r>
        <w:rPr>
          <w:spacing w:val="-10"/>
          <w:w w:val="98.82577896118164"/>
          <w:rFonts w:ascii="URWPalladioL" w:hAnsi="URWPalladioL" w:eastAsia="URWPalladioL"/>
          <w:color w:val="000000"/>
          <w:sz w:val="20"/>
        </w:rPr>
        <w:t xml:space="preserve">admission. Feature extraction was performed independently for each of the five laboratory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variables—lactate, creatinine, WBC, platelet count, and INR—and separately within each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temporal observation horizon.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The resulting predictor matrix contained 50 engineered longitudinal laboratory fea-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tures. Identifier variables (subject_id and hadm_id) were retained only for cohort manage-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ment and patient-level grouping and were excluded from model input. Outcome-related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variables, including the sepsis label and in-hospital mortality indicator, were likewise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excluded from the predictor matrix. Consequently, model development was based exclu-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sively on engineered temporal laboratory features derived from measurements within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designated observation window.</w:t>
      </w:r>
    </w:p>
    <w:p>
      <w:pPr>
        <w:autoSpaceDN w:val="0"/>
        <w:tabs>
          <w:tab w:pos="3514" w:val="left"/>
        </w:tabs>
        <w:autoSpaceDE w:val="0"/>
        <w:widowControl/>
        <w:spacing w:line="280" w:lineRule="exact" w:before="0" w:after="0"/>
        <w:ind w:left="3088" w:right="432" w:firstLine="0"/>
        <w:jc w:val="left"/>
      </w:pP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The same engineered feature representation was subsequently evaluat</w:t>
      </w:r>
      <w:hyperlink r:id="rId87" w:history="1">
        <w:r>
          <w:rPr>
            <w:rStyle w:val="Hyperlink"/>
            <w:rFonts w:ascii="URWPalladioL" w:hAnsi="URWPalladioL" w:eastAsia="URWPalladioL" w:cs="URWPalladioL"/>
            <w:sz w:val="19.984886169433594"/>
            <w:color w:val="000000"/>
            <w:spacing w:val="-10"/>
          </w:rPr>
          <w:t>ed u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sing Hist-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GradientBoosting and Logistic Regression classifiers as described in Section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7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2.5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202" w:lineRule="exact" w:before="208" w:after="0"/>
        <w:ind w:left="0" w:right="3724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2.5. Model Development and Patient-Grouped Validation</w:t>
      </w:r>
    </w:p>
    <w:p>
      <w:pPr>
        <w:autoSpaceDN w:val="0"/>
        <w:autoSpaceDE w:val="0"/>
        <w:widowControl/>
        <w:spacing w:line="278" w:lineRule="exact" w:before="60" w:after="0"/>
        <w:ind w:left="3082" w:right="432" w:firstLine="432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The engineered MACD–SCDM feature representations were used as inputs for super-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vised sepsis risk modeling. Separate models were developed using laboratory trajectories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observed during the first 12, 18, and 24 h after admission. The corresponding analytical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cohorts comprised 85 admissions from 61 unique patients, 120 admissions from 72 patients,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and 143 admissions from 79 patients, respective</w:t>
      </w:r>
      <w:hyperlink r:id="rId80" w:history="1">
        <w:r>
          <w:rPr>
            <w:rStyle w:val="Hyperlink"/>
            <w:rFonts w:ascii="URWPalladioL" w:hAnsi="URWPalladioL" w:eastAsia="URWPalladioL" w:cs="URWPalladioL"/>
            <w:sz w:val="20.05429458618164"/>
            <w:color w:val="000000"/>
            <w:spacing w:val="-10"/>
          </w:rPr>
          <w:t xml:space="preserve">ly. 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The outcome was the admission-level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ICD-coded sepsis phenotype defined in Section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0" w:history="1">
        <w:r>
          <w:rPr>
            <w:rStyle w:val="Hyperlink"/>
            <w:rFonts w:ascii="URWPalladioL" w:hAnsi="URWPalladioL" w:eastAsia="URWPalladioL" w:cs="URWPalladioL"/>
            <w:sz w:val="20.034488677978516"/>
            <w:color w:val="0875B7"/>
            <w:spacing w:val="-10"/>
          </w:rPr>
          <w:t>2.1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. Because the diagnosis table does not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provide a time-stamped sepsis onset, these analyses were interpreted as horizon-specific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risk classification based on progressively longer observation windows rather than predic-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tion of sepsis onset within subsequent fixed intervals.</w:t>
      </w:r>
    </w:p>
    <w:p>
      <w:pPr>
        <w:autoSpaceDN w:val="0"/>
        <w:autoSpaceDE w:val="0"/>
        <w:widowControl/>
        <w:spacing w:line="278" w:lineRule="exact" w:before="0" w:after="0"/>
        <w:ind w:left="3080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Prior to model development, identifier variables were excluded from the predictor ma-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trix. hadm_id was retained only for linking records belonging to the same hospital admission,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whereas subject_id was used exclusively as the grouping variable during validation.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outcome variable was maintained separately and was not included among the predictors.</w:t>
      </w:r>
    </w:p>
    <w:p>
      <w:pPr>
        <w:autoSpaceDN w:val="0"/>
        <w:autoSpaceDE w:val="0"/>
        <w:widowControl/>
        <w:spacing w:line="278" w:lineRule="exact" w:before="0" w:after="0"/>
        <w:ind w:left="3088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Because individual patients could contribute more than one hospital admission, model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evaluation was performed using repeated stratified patient-grouped cross-validation. Strat-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ifiedGroupKFold was implemented with five folds per repetition, with subject_id as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grouping variable and shuffling enabled. Five repetitions were performed using random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seeds 42, 43, 44, 45, and 46, yielding 25 planned fold evaluations at each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horizon. All admissions belonging to the same patient were retained exclusively within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either the training or validation subset of each fold, and audit of the resulting partitions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confirmed zero patient overlap between training and validation subsets.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30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The distribution of positive patients across validation folds was also examined. At 12 h,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validation folds contained 2.80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1.22 positive patients (range 0–5); at 18 h, 3.00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1.12 (range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0–5); and at 24 h, 3.20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1.29 (range 1–6). One fold at each of the 12 h and 18 h horizons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contained no positive validation patient and was excluded from discrimination-metric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calculation. Consequently, 24 of 25 fold evaluations were valid at 12 h, 24 of 25 at 18 h,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25 of 25 at 24 h. Identical patient-grouped partitions were used for HistGradientBoosting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and Logistic Regression and for the feature-set ablation analyses.</w:t>
      </w:r>
    </w:p>
    <w:p>
      <w:pPr>
        <w:autoSpaceDN w:val="0"/>
        <w:autoSpaceDE w:val="0"/>
        <w:widowControl/>
        <w:spacing w:line="278" w:lineRule="exact" w:before="0" w:after="0"/>
        <w:ind w:left="3080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To prevent information leakage during validation, data-dependent preprocessing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model fitting were confined to the training portion of each fold. For Logistic Regression,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median imputation and feature standardization were fitted using the training-fold data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and subsequently applied to the corresponding validation fold. Model fitting was likewise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performed exclusively on the training fold. HistGradientBoosting used its native handling of </w:t>
      </w:r>
      <w:r>
        <w:br/>
      </w: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>missing values and did not require feature standardization. Temporal descriptors were con-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structed independently for each admission using only laboratory measurements available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within the corresponding 0–12 h, 0–18 h, or 0–24 h observation window; no measurements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beyond the respective observation horizon were used to construct the predictor trajectories.</w:t>
      </w:r>
    </w:p>
    <w:p>
      <w:pPr>
        <w:autoSpaceDN w:val="0"/>
        <w:autoSpaceDE w:val="0"/>
        <w:widowControl/>
        <w:spacing w:line="160" w:lineRule="exact" w:before="57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8 of 19</w:t>
      </w:r>
    </w:p>
    <w:p>
      <w:pPr>
        <w:autoSpaceDN w:val="0"/>
        <w:autoSpaceDE w:val="0"/>
        <w:widowControl/>
        <w:spacing w:line="278" w:lineRule="exact" w:before="536" w:after="0"/>
        <w:ind w:left="3082" w:right="432" w:firstLine="432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primary nonlinear classifier was the HistGradientBoostingClassifier, selected a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priori to evaluate whether nonlinear relationships and interactions among the engineered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temporal descriptors provided predictive information. Logistic Regression was evaluated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as a linear benchmark using the same horizon-specific predictor sets and identical patient-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grouped validation partitions. The two classifiers were therefore not selected competitively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on the basis of their observed performance; rather, they were predefined as complementary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nonlinear and linear models for evaluating the engineered temporal representation. For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 engineered feature vector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x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, the model estimates the probability of the admission-level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sepsis outcome as:</w:t>
      </w:r>
    </w:p>
    <w:p>
      <w:pPr>
        <w:autoSpaceDN w:val="0"/>
        <w:tabs>
          <w:tab w:pos="10734" w:val="left"/>
        </w:tabs>
        <w:autoSpaceDE w:val="0"/>
        <w:widowControl/>
        <w:spacing w:line="208" w:lineRule="exact" w:before="70" w:after="0"/>
        <w:ind w:left="6280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ˆ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p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 =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f</w:t>
      </w:r>
      <w:r>
        <w:rPr>
          <w:spacing w:val="-10"/>
          <w:rFonts w:ascii="PazoMath" w:hAnsi="PazoMath" w:eastAsia="PazoMath"/>
          <w:i/>
          <w:color w:val="000000"/>
          <w:sz w:val="15"/>
        </w:rPr>
        <w:t>θ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(</w:t>
      </w:r>
      <w:r>
        <w:rPr>
          <w:spacing w:val="-10"/>
          <w:rFonts w:ascii="URWPalladioL" w:hAnsi="URWPalladioL" w:eastAsia="URWPalladioL"/>
          <w:b/>
          <w:i/>
          <w:color w:val="000000"/>
          <w:sz w:val="20"/>
        </w:rPr>
        <w:t>x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)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∈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>[</w:t>
      </w:r>
      <w:r>
        <w:rPr>
          <w:spacing w:val="-10"/>
          <w:rFonts w:ascii="URWPalladioL" w:hAnsi="URWPalladioL" w:eastAsia="URWPalladioL"/>
          <w:color w:val="000000"/>
          <w:sz w:val="20"/>
        </w:rPr>
        <w:t>0, 1</w:t>
      </w:r>
      <w:r>
        <w:rPr>
          <w:spacing w:val="-10"/>
          <w:w w:val="98.86761619931175"/>
          <w:rFonts w:ascii="CMR10" w:hAnsi="CMR10" w:eastAsia="CMR10"/>
          <w:color w:val="000000"/>
          <w:sz w:val="21"/>
        </w:rPr>
        <w:t xml:space="preserve">]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(9)</w:t>
      </w:r>
    </w:p>
    <w:p>
      <w:pPr>
        <w:autoSpaceDN w:val="0"/>
        <w:autoSpaceDE w:val="0"/>
        <w:widowControl/>
        <w:spacing w:line="278" w:lineRule="exact" w:before="142" w:after="0"/>
        <w:ind w:left="3088" w:right="432" w:hanging="8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where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 xml:space="preserve"> f</w:t>
      </w:r>
      <w:r>
        <w:rPr>
          <w:spacing w:val="-10"/>
          <w:rFonts w:ascii="PazoMath" w:hAnsi="PazoMath" w:eastAsia="PazoMath"/>
          <w:i/>
          <w:color w:val="000000"/>
          <w:sz w:val="15"/>
        </w:rPr>
        <w:t>θ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represents the learned prediction function and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ˆ</w:t>
      </w:r>
      <w:r>
        <w:rPr>
          <w:spacing w:val="-10"/>
          <w:rFonts w:ascii="URWPalladioL" w:hAnsi="URWPalladioL" w:eastAsia="URWPalladioL"/>
          <w:i/>
          <w:color w:val="000000"/>
          <w:sz w:val="20"/>
        </w:rPr>
        <w:t>p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denotes the estimated probability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of admission-level ICD-coded sepsis.</w:t>
      </w:r>
    </w:p>
    <w:p>
      <w:pPr>
        <w:autoSpaceDN w:val="0"/>
        <w:autoSpaceDE w:val="0"/>
        <w:widowControl/>
        <w:spacing w:line="278" w:lineRule="exact" w:before="0" w:after="0"/>
        <w:ind w:left="3088" w:right="432" w:firstLine="424"/>
        <w:jc w:val="left"/>
      </w:pP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>A Logistic Regression classifier was additionally implemented using the same MACD–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SCDM feature representation to provide a linear benchmark. For Logistic Regression, miss-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ing feature values were handled by median imputation, and continuous predictors were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standardized before model fitting. The comparison between HistGradientBoosting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Logistic Regression was intended to examine whether the engineered temporal representa-</w:t>
      </w:r>
      <w:r>
        <w:br/>
      </w:r>
      <w:r>
        <w:rPr>
          <w:spacing w:val="-10"/>
          <w:w w:val="98.82577896118164"/>
          <w:rFonts w:ascii="URWPalladioL" w:hAnsi="URWPalladioL" w:eastAsia="URWPalladioL"/>
          <w:color w:val="000000"/>
          <w:sz w:val="20"/>
        </w:rPr>
        <w:t xml:space="preserve">tion retained predictive information across classifiers with different functional assumptions,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rather than to establish superiority of a particular learning algorithm.</w:t>
      </w:r>
    </w:p>
    <w:p>
      <w:pPr>
        <w:autoSpaceDN w:val="0"/>
        <w:autoSpaceDE w:val="0"/>
        <w:widowControl/>
        <w:spacing w:line="278" w:lineRule="exact" w:before="0" w:after="0"/>
        <w:ind w:left="3088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HistGradientBoostingClassifier was implemented with learning_rate = 0.05, max_iter =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400, max_depth = 6, min_samples_leaf = 20, and l2_regularization = 0.0, with random_state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= 42. Logistic Regression used L2 regularization with the lbfgs solver, max_iter = 3000,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median imputation, feature standardization, and random_state = 42.</w:t>
      </w:r>
    </w:p>
    <w:p>
      <w:pPr>
        <w:autoSpaceDN w:val="0"/>
        <w:autoSpaceDE w:val="0"/>
        <w:widowControl/>
        <w:spacing w:line="278" w:lineRule="exact" w:before="0" w:after="0"/>
        <w:ind w:left="3088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All analyses were implemented in Python (version 3.12.3) using pandas (version 2.2.2),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NumPy (version 1.26.4), SciPy (version 1.13.0), and scikit-learn (version 1.7.2). A fixed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random seed was used where applicable to support computational reproducibility.</w:t>
      </w:r>
    </w:p>
    <w:p>
      <w:pPr>
        <w:autoSpaceDN w:val="0"/>
        <w:autoSpaceDE w:val="0"/>
        <w:widowControl/>
        <w:spacing w:line="150" w:lineRule="exact" w:before="268" w:after="0"/>
        <w:ind w:left="0" w:right="6534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2.6. Model Evaluation</w:t>
      </w:r>
    </w:p>
    <w:p>
      <w:pPr>
        <w:autoSpaceDN w:val="0"/>
        <w:autoSpaceDE w:val="0"/>
        <w:widowControl/>
        <w:spacing w:line="278" w:lineRule="exact" w:before="114" w:after="0"/>
        <w:ind w:left="3080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Predictive performance was evaluated separately at the 12 h, 18 h, and 24 h observa-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tion ho</w:t>
      </w:r>
      <w:hyperlink r:id="rId87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>rizo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ns using the repeated patient-grouped cross-validation strategy described in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Section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7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875B7"/>
            <w:spacing w:val="-10"/>
          </w:rPr>
          <w:t>2.5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 Model discrimination was assessed using the area under the receiver operat-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ing characteristic curve (AUROC) and the area under the precision–recall curve (AUPRC).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AUPRC was included because positive outcomes were relatively infrequent across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three analytical cohorts and therefore provided complementary information under class</w:t>
      </w:r>
    </w:p>
    <w:p>
      <w:pPr>
        <w:autoSpaceDN w:val="0"/>
        <w:autoSpaceDE w:val="0"/>
        <w:widowControl/>
        <w:spacing w:line="148" w:lineRule="exact" w:before="78" w:after="0"/>
        <w:ind w:left="0" w:right="7396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imbalance.</w:t>
      </w:r>
    </w:p>
    <w:p>
      <w:pPr>
        <w:autoSpaceDN w:val="0"/>
        <w:autoSpaceDE w:val="0"/>
        <w:widowControl/>
        <w:spacing w:line="278" w:lineRule="exact" w:before="54" w:after="0"/>
        <w:ind w:left="3080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At a predefined probability threshold of 0.50, threshold-dependent performance was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characterized using accuracy, precision, sensitivity (recall), specificity, F1-score, balanced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accuracy, and Matthews correlation coefficient (MCC). Probability calibration was summa-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rized using the Brier score. Performance measures were calculated independently within </w:t>
      </w:r>
      <w:r>
        <w:br/>
      </w: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>each valid validation fold and summarized as the mean across the repeated grouped cross-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validation evaluations. Standard deviations were additionally calculated for AUROC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AUPRC to characterize variability across validation folds.</w:t>
      </w:r>
    </w:p>
    <w:p>
      <w:pPr>
        <w:autoSpaceDN w:val="0"/>
        <w:autoSpaceDE w:val="0"/>
        <w:widowControl/>
        <w:spacing w:line="278" w:lineRule="exact" w:before="2" w:after="0"/>
        <w:ind w:left="3080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HistGradientBoosting and Logistic Regression were evaluated using identical horizon-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specific predictor sets and patient-grouped validation partitions. Given the exploratory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nature and limited size of the MIMIC-IV Demo cohort, emphasis was placed on horizon-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specific discrimination, consistency across classifiers, and the behavior of the engineered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temporal representation rather than on identifying a single optimally performing model.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Accordingly, the reported performance estimates were interpreted as proof-of-concept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evidence rather than estimates of clinical deployment performance.</w:t>
      </w:r>
    </w:p>
    <w:p>
      <w:pPr>
        <w:autoSpaceDN w:val="0"/>
        <w:autoSpaceDE w:val="0"/>
        <w:widowControl/>
        <w:spacing w:line="160" w:lineRule="exact" w:before="934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8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9 of 19</w:t>
      </w:r>
    </w:p>
    <w:p>
      <w:pPr>
        <w:autoSpaceDN w:val="0"/>
        <w:autoSpaceDE w:val="0"/>
        <w:widowControl/>
        <w:spacing w:line="202" w:lineRule="exact" w:before="612" w:after="0"/>
        <w:ind w:left="0" w:right="5542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2.7. Feature-Set Ablation Analysis</w:t>
      </w:r>
    </w:p>
    <w:p>
      <w:pPr>
        <w:autoSpaceDN w:val="0"/>
        <w:autoSpaceDE w:val="0"/>
        <w:widowControl/>
        <w:spacing w:line="278" w:lineRule="exact" w:before="62" w:after="0"/>
        <w:ind w:left="3088" w:right="432" w:firstLine="424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To quantify the contribution of the engineered temporal descriptors, an ablation analysis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compared four predefined feature representations: conventional-only, comprising 30 sum-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mary, trend, and variability descriptors; MACD-only, comprising 15 MACD, signal-line,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and histogram descriptors; SCDM-only, comprising five lag-1 persistence descriptors;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combined, comprising all 50 descriptors. Each feature set was evaluated independently at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12 h, 18 h, and 24 h observation horizons using both HistGradientBoosting and Logistic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Regression.</w:t>
      </w:r>
    </w:p>
    <w:p>
      <w:pPr>
        <w:autoSpaceDN w:val="0"/>
        <w:autoSpaceDE w:val="0"/>
        <w:widowControl/>
        <w:spacing w:line="278" w:lineRule="exact" w:before="2" w:after="0"/>
        <w:ind w:left="3082" w:right="432" w:firstLine="432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All four feature sets were evaluated using the same patient-</w:t>
      </w:r>
      <w:hyperlink r:id="rId87" w:history="1">
        <w:r>
          <w:rPr>
            <w:rStyle w:val="Hyperlink"/>
            <w:rFonts w:ascii="URWPalladioL" w:hAnsi="URWPalladioL" w:eastAsia="URWPalladioL" w:cs="URWPalladioL"/>
            <w:sz w:val="19.895288467407227"/>
            <w:color w:val="000000"/>
            <w:spacing w:val="-10"/>
          </w:rPr>
          <w:t>gro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uped cross-validation </w:t>
      </w:r>
      <w:r>
        <w:br/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>partitions, fold structure, and random seeds described in Section</w:t>
      </w:r>
      <w:r>
        <w:rPr>
          <w:spacing w:val="-10"/>
          <w:w w:val="98.87598037719727"/>
          <w:rFonts w:ascii="URWPalladioL" w:hAnsi="URWPalladioL" w:eastAsia="URWPalladioL"/>
          <w:color w:val="0875B7"/>
          <w:sz w:val="20"/>
        </w:rPr>
        <w:t xml:space="preserve"> </w:t>
      </w:r>
      <w:hyperlink r:id="rId87" w:history="1">
        <w:r>
          <w:rPr>
            <w:rStyle w:val="Hyperlink"/>
            <w:rFonts w:ascii="URWPalladioL" w:hAnsi="URWPalladioL" w:eastAsia="URWPalladioL" w:cs="URWPalladioL"/>
            <w:sz w:val="19.775196075439453"/>
            <w:color w:val="0875B7"/>
            <w:w w:val="98.87598037719727"/>
            <w:spacing w:val="-10"/>
          </w:rPr>
          <w:t>2.5</w:t>
        </w:r>
      </w:hyperlink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>. AUROC and AUPRC</w:t>
      </w:r>
    </w:p>
    <w:p>
      <w:pPr>
        <w:autoSpaceDN w:val="0"/>
        <w:autoSpaceDE w:val="0"/>
        <w:widowControl/>
        <w:spacing w:line="150" w:lineRule="exact" w:before="76" w:after="0"/>
        <w:ind w:left="0" w:right="44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were calculated for each valid validation fold and summarized as mean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standard devia-</w:t>
      </w:r>
    </w:p>
    <w:p>
      <w:pPr>
        <w:autoSpaceDN w:val="0"/>
        <w:autoSpaceDE w:val="0"/>
        <w:widowControl/>
        <w:spacing w:line="278" w:lineRule="exact" w:before="52" w:after="0"/>
        <w:ind w:left="3080" w:right="480" w:firstLine="8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tion. Differences in AUROC and AUPRC relative to the conventional-only representation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were additionally calculated to quantify the incremental discrimination associated with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MACD, SCDM, and combined temporal representations.</w:t>
      </w:r>
    </w:p>
    <w:p>
      <w:pPr>
        <w:autoSpaceDN w:val="0"/>
        <w:autoSpaceDE w:val="0"/>
        <w:widowControl/>
        <w:spacing w:line="202" w:lineRule="exact" w:before="268" w:after="0"/>
        <w:ind w:left="0" w:right="4026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2.8. Feature Importance and Interpretability Analysis</w:t>
      </w:r>
    </w:p>
    <w:p>
      <w:pPr>
        <w:autoSpaceDN w:val="0"/>
        <w:autoSpaceDE w:val="0"/>
        <w:widowControl/>
        <w:spacing w:line="278" w:lineRule="exact" w:before="62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Model interpretability was assessed using permutation feature importance separately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at the 12 h, 18 h, and 24 h observation horizons. Feature importance was examined at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three complementary levels. First, individual engineered temporal descriptors were ranked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according to their permutation importance. Second, features were grouped by descriptor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family—absolute level, oscillation/momentum, persistence, trend, and variability—and </w:t>
      </w:r>
      <w:r>
        <w:br/>
      </w:r>
      <w:r>
        <w:rPr>
          <w:spacing w:val="-10"/>
          <w:w w:val="98.82577896118164"/>
          <w:rFonts w:ascii="URWPalladioL" w:hAnsi="URWPalladioL" w:eastAsia="URWPalladioL"/>
          <w:color w:val="000000"/>
          <w:sz w:val="20"/>
        </w:rPr>
        <w:t>their cumulative importance was evaluated. Third, features were aggregated by physiolog-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ical domain, comprising perfusion/metabolic, coagulation/hematological, inflammatory,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and renal descriptors.</w:t>
      </w:r>
    </w:p>
    <w:p>
      <w:pPr>
        <w:autoSpaceDN w:val="0"/>
        <w:autoSpaceDE w:val="0"/>
        <w:widowControl/>
        <w:spacing w:line="278" w:lineRule="exact" w:before="2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These analyses were used to determine whether predictive information was concen-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trated within particular temporal characteristics or physiological domains and whether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their relative contributions changed with the duration of the available observation window.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Permutation importance was interpreted as a measure of model dependence and predictive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contribution rather than evidence of causal physiological relationships.</w:t>
      </w:r>
    </w:p>
    <w:p>
      <w:pPr>
        <w:autoSpaceDN w:val="0"/>
        <w:autoSpaceDE w:val="0"/>
        <w:widowControl/>
        <w:spacing w:line="176" w:lineRule="exact" w:before="290" w:after="0"/>
        <w:ind w:left="0" w:right="7274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24"/>
        </w:rPr>
        <w:t>3. Results</w:t>
      </w:r>
    </w:p>
    <w:p>
      <w:pPr>
        <w:autoSpaceDN w:val="0"/>
        <w:autoSpaceDE w:val="0"/>
        <w:widowControl/>
        <w:spacing w:line="148" w:lineRule="exact" w:before="176" w:after="0"/>
        <w:ind w:left="0" w:right="3372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3.1. Cohort Characteristics and Observation Window Cohorts</w:t>
      </w:r>
    </w:p>
    <w:p>
      <w:pPr>
        <w:autoSpaceDN w:val="0"/>
        <w:autoSpaceDE w:val="0"/>
        <w:widowControl/>
        <w:spacing w:line="278" w:lineRule="exact" w:before="114" w:after="0"/>
        <w:ind w:left="3088" w:right="448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>The source cohort comprised 275 hospital admissions from 100 unique patients, in-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cluding 48 patients with multiple admissions. Following laboratory availability screening,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243 admissions from all 100 patients contained at least one measurement of lactate, creati-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nine, WBC, platelet count, or INR.</w:t>
      </w:r>
    </w:p>
    <w:p>
      <w:pPr>
        <w:autoSpaceDN w:val="0"/>
        <w:autoSpaceDE w:val="0"/>
        <w:widowControl/>
        <w:spacing w:line="278" w:lineRule="exact" w:before="0" w:after="0"/>
        <w:ind w:left="307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Eligibility for temporal feature construction was subsequently determined separately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at each observation horizon. At 12 h, 85 admissions from 61 patients were eligible, including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17 ICD-coded sepsis-positive admissions and 68 negative admissions. At 18 h, 120 admis-</w:t>
      </w:r>
      <w:r>
        <w:br/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 xml:space="preserve">sions from 72 patients were eligible, including 18 positive and 102 negative admissions. At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24 h, the analytical cohort comprised 143 admissions from 79 patients, including 21 positive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and 122 negative admissions. The proportion of positive admissions was therefore</w:t>
      </w:r>
      <w:hyperlink r:id="rId88" w:history="1">
        <w:r>
          <w:rPr>
            <w:rStyle w:val="Hyperlink"/>
            <w:rFonts w:ascii="URWPalladioL" w:hAnsi="URWPalladioL" w:eastAsia="URWPalladioL" w:cs="URWPalladioL"/>
            <w:sz w:val="19.95506477355957"/>
            <w:color w:val="000000"/>
            <w:spacing w:val="-10"/>
          </w:rPr>
          <w:t xml:space="preserve"> 2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0.0%,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15.0%, and 14.7% at the 12-, 18-, and 24 h observation horizons, respectively (Table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8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).</w:t>
      </w:r>
    </w:p>
    <w:p>
      <w:pPr>
        <w:autoSpaceDN w:val="0"/>
        <w:autoSpaceDE w:val="0"/>
        <w:widowControl/>
        <w:spacing w:line="278" w:lineRule="exact" w:before="0" w:after="0"/>
        <w:ind w:left="3088" w:right="472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All subsequent analyses preserved patient-level independence through grouping by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subject_id, ensuring that repeated admissions from the same individual remained within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the same training or validation partition.</w:t>
      </w:r>
    </w:p>
    <w:p>
      <w:pPr>
        <w:autoSpaceDN w:val="0"/>
        <w:autoSpaceDE w:val="0"/>
        <w:widowControl/>
        <w:spacing w:line="278" w:lineRule="exact" w:before="0" w:after="0"/>
        <w:ind w:left="3080" w:right="432" w:firstLine="43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number of eligible admissions and unique patients increased as the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window was extended, reflecting the greater availability of sufficient longitudinal lab-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oratory measurements over longer observation periods. Despite this increase, positive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outcomes remained relatively infrequent across all three configurations, accounting for</w:t>
      </w:r>
    </w:p>
    <w:p>
      <w:pPr>
        <w:autoSpaceDN w:val="0"/>
        <w:autoSpaceDE w:val="0"/>
        <w:widowControl/>
        <w:spacing w:line="160" w:lineRule="exact" w:before="66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2703830</wp:posOffset>
            </wp:positionV>
            <wp:extent cx="6645909" cy="203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2926080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3138170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3351529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3564890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3776979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3990340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4199890</wp:posOffset>
            </wp:positionV>
            <wp:extent cx="6645909" cy="203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10 of 19</w:t>
      </w:r>
    </w:p>
    <w:p>
      <w:pPr>
        <w:autoSpaceDN w:val="0"/>
        <w:autoSpaceDE w:val="0"/>
        <w:widowControl/>
        <w:spacing w:line="280" w:lineRule="exact" w:before="534" w:after="0"/>
        <w:ind w:left="3088" w:right="432" w:firstLine="0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20.0%, 15.0%, and 14.7% of eligible admissions at the 12-, 18-, and 24 h observation horizons,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respectively. This class distribution was considered during performance evaluation through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the complementary reporting of AUROC and AUPRC.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All subsequent predictive analyses preserved patient-level independence by grouping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observations according to subject_id. Thus, repeated admissions belonging to the same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patient were retained within the same training or validation partition and were not dis-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tributed across both partitions. This grouping strategy was applied consistently across the</w:t>
      </w:r>
    </w:p>
    <w:p>
      <w:pPr>
        <w:autoSpaceDN w:val="0"/>
        <w:autoSpaceDE w:val="0"/>
        <w:widowControl/>
        <w:spacing w:line="148" w:lineRule="exact" w:before="78" w:after="0"/>
        <w:ind w:left="0" w:right="5934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three observation horizons.</w:t>
      </w:r>
    </w:p>
    <w:p>
      <w:pPr>
        <w:autoSpaceDN w:val="0"/>
        <w:autoSpaceDE w:val="0"/>
        <w:widowControl/>
        <w:spacing w:line="180" w:lineRule="exact" w:before="310" w:after="222"/>
        <w:ind w:left="0" w:right="2912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Table 1.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Cohort composition across laboratory observation horizons.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880" w:type="dxa"/>
      </w:tblPr>
      <w:tblGrid>
        <w:gridCol w:w="2860" w:type="dxa"/>
        <w:gridCol w:w="2440" w:type="dxa"/>
        <w:gridCol w:w="1420" w:type="dxa"/>
        <w:gridCol w:w="1660" w:type="dxa"/>
        <w:gridCol w:w="1600" w:type="dxa"/>
      </w:tblGrid>
      <w:tr>
        <w:trPr>
          <w:trHeight w:hRule="exact" w:val="266"/>
        </w:trPr>
        <w:tc>
          <w:tcPr>
            <w:tcW w:type="dxa" w:w="2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60" w:after="0"/>
              <w:ind w:left="0" w:right="730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Characteristic</w:t>
            </w:r>
          </w:p>
        </w:tc>
        <w:tc>
          <w:tcPr>
            <w:tcW w:type="dxa" w:w="2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60" w:after="0"/>
              <w:ind w:left="0" w:right="404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Source Cohort</w:t>
            </w:r>
          </w:p>
        </w:tc>
        <w:tc>
          <w:tcPr>
            <w:tcW w:type="dxa" w:w="1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60" w:after="0"/>
              <w:ind w:left="0" w:right="628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12 h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18 h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60" w:after="0"/>
              <w:ind w:left="0" w:right="566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24 h</w:t>
            </w:r>
          </w:p>
        </w:tc>
      </w:tr>
    </w:tbl>
    <w:p>
      <w:pPr>
        <w:autoSpaceDN w:val="0"/>
        <w:autoSpaceDE w:val="0"/>
        <w:widowControl/>
        <w:spacing w:line="6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80" w:type="dxa"/>
      </w:tblPr>
      <w:tblGrid>
        <w:gridCol w:w="3500" w:type="dxa"/>
        <w:gridCol w:w="1800" w:type="dxa"/>
        <w:gridCol w:w="1600" w:type="dxa"/>
        <w:gridCol w:w="1680" w:type="dxa"/>
        <w:gridCol w:w="1580" w:type="dxa"/>
      </w:tblGrid>
      <w:tr>
        <w:trPr>
          <w:trHeight w:hRule="exact" w:val="320"/>
        </w:trPr>
        <w:tc>
          <w:tcPr>
            <w:tcW w:type="dxa" w:w="3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69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Hospital admissions, n</w:t>
            </w:r>
          </w:p>
        </w:tc>
        <w:tc>
          <w:tcPr>
            <w:tcW w:type="dxa" w:w="1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6" w:after="0"/>
              <w:ind w:left="0" w:right="70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275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85</w:t>
            </w:r>
          </w:p>
        </w:tc>
        <w:tc>
          <w:tcPr>
            <w:tcW w:type="dxa" w:w="1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120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6" w:after="0"/>
              <w:ind w:left="0" w:right="58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143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780" w:type="dxa"/>
      </w:tblPr>
      <w:tblGrid>
        <w:gridCol w:w="3300" w:type="dxa"/>
        <w:gridCol w:w="1900" w:type="dxa"/>
        <w:gridCol w:w="1620" w:type="dxa"/>
        <w:gridCol w:w="1660" w:type="dxa"/>
        <w:gridCol w:w="1540" w:type="dxa"/>
      </w:tblGrid>
      <w:tr>
        <w:trPr>
          <w:trHeight w:hRule="exact" w:val="314"/>
        </w:trPr>
        <w:tc>
          <w:tcPr>
            <w:tcW w:type="dxa" w:w="3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2" w:after="0"/>
              <w:ind w:left="79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Unique patients, n</w:t>
            </w:r>
          </w:p>
        </w:tc>
        <w:tc>
          <w:tcPr>
            <w:tcW w:type="dxa" w:w="1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0" w:after="0"/>
              <w:ind w:left="0" w:right="70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100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61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2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72</w:t>
            </w:r>
          </w:p>
        </w:tc>
        <w:tc>
          <w:tcPr>
            <w:tcW w:type="dxa" w:w="1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2" w:after="0"/>
              <w:ind w:left="0" w:right="59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79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00" w:type="dxa"/>
      </w:tblPr>
      <w:tblGrid>
        <w:gridCol w:w="4280" w:type="dxa"/>
        <w:gridCol w:w="1360" w:type="dxa"/>
        <w:gridCol w:w="1660" w:type="dxa"/>
        <w:gridCol w:w="1660" w:type="dxa"/>
        <w:gridCol w:w="1540" w:type="dxa"/>
      </w:tblGrid>
      <w:tr>
        <w:trPr>
          <w:trHeight w:hRule="exact" w:val="320"/>
        </w:trPr>
        <w:tc>
          <w:tcPr>
            <w:tcW w:type="dxa" w:w="4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30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ICD-coded sepsis-positive admissions, n</w:t>
            </w:r>
          </w:p>
        </w:tc>
        <w:tc>
          <w:tcPr>
            <w:tcW w:type="dxa" w:w="1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6" w:after="0"/>
              <w:ind w:left="0" w:right="71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24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17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18</w:t>
            </w:r>
          </w:p>
        </w:tc>
        <w:tc>
          <w:tcPr>
            <w:tcW w:type="dxa" w:w="1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6" w:after="0"/>
              <w:ind w:left="0" w:right="59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21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60" w:type="dxa"/>
      </w:tblPr>
      <w:tblGrid>
        <w:gridCol w:w="3520" w:type="dxa"/>
        <w:gridCol w:w="1800" w:type="dxa"/>
        <w:gridCol w:w="1600" w:type="dxa"/>
        <w:gridCol w:w="1680" w:type="dxa"/>
        <w:gridCol w:w="1580" w:type="dxa"/>
      </w:tblGrid>
      <w:tr>
        <w:trPr>
          <w:trHeight w:hRule="exact" w:val="322"/>
        </w:trPr>
        <w:tc>
          <w:tcPr>
            <w:tcW w:type="dxa" w:w="3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Negative admissions, n</w:t>
            </w:r>
          </w:p>
        </w:tc>
        <w:tc>
          <w:tcPr>
            <w:tcW w:type="dxa" w:w="1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66" w:after="0"/>
              <w:ind w:left="0" w:right="70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251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8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68</w:t>
            </w:r>
          </w:p>
        </w:tc>
        <w:tc>
          <w:tcPr>
            <w:tcW w:type="dxa" w:w="1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102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6" w:after="0"/>
              <w:ind w:left="0" w:right="58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122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80" w:type="dxa"/>
      </w:tblPr>
      <w:tblGrid>
        <w:gridCol w:w="3500" w:type="dxa"/>
        <w:gridCol w:w="1740" w:type="dxa"/>
        <w:gridCol w:w="1680" w:type="dxa"/>
        <w:gridCol w:w="1660" w:type="dxa"/>
        <w:gridCol w:w="1580" w:type="dxa"/>
      </w:tblGrid>
      <w:tr>
        <w:trPr>
          <w:trHeight w:hRule="exact" w:val="316"/>
        </w:trPr>
        <w:tc>
          <w:tcPr>
            <w:tcW w:type="dxa" w:w="3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71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Positive proportion, %</w:t>
            </w:r>
          </w:p>
        </w:tc>
        <w:tc>
          <w:tcPr>
            <w:tcW w:type="dxa" w:w="1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4" w:after="0"/>
              <w:ind w:left="0" w:right="67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8.7</w:t>
            </w:r>
          </w:p>
        </w:tc>
        <w:tc>
          <w:tcPr>
            <w:tcW w:type="dxa" w:w="1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20.0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2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15.0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2" w:after="0"/>
              <w:ind w:left="0" w:right="55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14.7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80" w:type="dxa"/>
      </w:tblPr>
      <w:tblGrid>
        <w:gridCol w:w="3920" w:type="dxa"/>
        <w:gridCol w:w="1460" w:type="dxa"/>
        <w:gridCol w:w="1740" w:type="dxa"/>
        <w:gridCol w:w="1660" w:type="dxa"/>
        <w:gridCol w:w="1640" w:type="dxa"/>
      </w:tblGrid>
      <w:tr>
        <w:trPr>
          <w:trHeight w:hRule="exact" w:val="322"/>
        </w:trPr>
        <w:tc>
          <w:tcPr>
            <w:tcW w:type="dxa" w:w="3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50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Laboratory observation horizon</w:t>
            </w:r>
          </w:p>
        </w:tc>
        <w:tc>
          <w:tcPr>
            <w:tcW w:type="dxa" w:w="1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" w:lineRule="exact" w:before="15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—</w:t>
            </w:r>
          </w:p>
        </w:tc>
        <w:tc>
          <w:tcPr>
            <w:tcW w:type="dxa" w:w="1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0" w:after="0"/>
              <w:ind w:left="0" w:right="53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0–12 h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0–18 h</w:t>
            </w:r>
          </w:p>
        </w:tc>
        <w:tc>
          <w:tcPr>
            <w:tcW w:type="dxa" w:w="1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0–24 h</w:t>
            </w:r>
          </w:p>
        </w:tc>
      </w:tr>
    </w:tbl>
    <w:p>
      <w:pPr>
        <w:autoSpaceDN w:val="0"/>
        <w:autoSpaceDE w:val="0"/>
        <w:widowControl/>
        <w:spacing w:line="202" w:lineRule="exact" w:before="370" w:after="0"/>
        <w:ind w:left="0" w:right="3972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3.2. MACD–SCDM Temporal Feature Representation</w:t>
      </w:r>
    </w:p>
    <w:p>
      <w:pPr>
        <w:autoSpaceDN w:val="0"/>
        <w:autoSpaceDE w:val="0"/>
        <w:widowControl/>
        <w:spacing w:line="278" w:lineRule="exact" w:before="62" w:after="0"/>
        <w:ind w:left="3080" w:right="432" w:firstLine="432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Temporal features were constructed independently for each of the three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windows using the five selected laboratory variables: lactate, creatinine, white blood cell </w:t>
      </w:r>
      <w:r>
        <w:br/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>count (WBC), platelet count, and international normalized ratio (INR). Laboratory measure-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ments occurring outside the corresponding observation horizon were not used for feature</w:t>
      </w:r>
    </w:p>
    <w:p>
      <w:pPr>
        <w:autoSpaceDN w:val="0"/>
        <w:autoSpaceDE w:val="0"/>
        <w:widowControl/>
        <w:spacing w:line="142" w:lineRule="exact" w:before="86" w:after="0"/>
        <w:ind w:left="0" w:right="7204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construction.</w:t>
      </w:r>
    </w:p>
    <w:p>
      <w:pPr>
        <w:autoSpaceDN w:val="0"/>
        <w:autoSpaceDE w:val="0"/>
        <w:widowControl/>
        <w:spacing w:line="278" w:lineRule="exact" w:before="52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For each laboratory trajectory, 10 engineered descriptors were calculated to char-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acterize complementary aspects of temporal behavior. These comprised five first-order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descriptors (mean, standard deviation, minimum, maximum, and volatility), one linear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trend descriptor (slope), three momentum-based descriptors (MACD, MACD signal,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MACD histogram), and one short-term temporal persistence descriptor (SCDM). Applica-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tion of the same descriptor set to the five laboratory variables resulted in a maximum of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50 engineered temporal features per admission.</w:t>
      </w:r>
    </w:p>
    <w:p>
      <w:pPr>
        <w:autoSpaceDN w:val="0"/>
        <w:autoSpaceDE w:val="0"/>
        <w:widowControl/>
        <w:spacing w:line="200" w:lineRule="exact" w:before="270" w:after="0"/>
        <w:ind w:left="0" w:right="380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3.2.1. Composition of the Engineered Feature Space</w:t>
      </w:r>
    </w:p>
    <w:p>
      <w:pPr>
        <w:autoSpaceDN w:val="0"/>
        <w:autoSpaceDE w:val="0"/>
        <w:widowControl/>
        <w:spacing w:line="278" w:lineRule="exact" w:before="60" w:after="0"/>
        <w:ind w:left="3080" w:right="432" w:firstLine="43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engineered feature representation combined conventional statistical summaries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with descriptors designed to capture longitudinal changes in laboratory trajectories.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first-order features characterized the overall level and dispersion of each laboratory signal,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whereas the slope quantified its direction of change over the corresponding observation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window. MACD-derived features represented differences between short- and longer-term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exponential moving averages and were therefore used to characterize temporal momentum.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SCDM, implemented as lag-1 Pearson autocorrelation in the present study, represented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short-term persistence between consecutive hourly observations.</w:t>
      </w:r>
    </w:p>
    <w:p>
      <w:pPr>
        <w:autoSpaceDN w:val="0"/>
        <w:autoSpaceDE w:val="0"/>
        <w:widowControl/>
        <w:spacing w:line="278" w:lineRule="exact" w:before="2" w:after="0"/>
        <w:ind w:left="3088" w:right="432" w:firstLine="424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The same feature-generation procedure was applied independently to the 0–12 h,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0–18 h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and 0–24 h observation windows. Consequently, the feature definitions remained identical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across observation horizons, allowing differences in predictive performance and feature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importance to be examined without changing the underlying temporal representation.</w:t>
      </w:r>
    </w:p>
    <w:p>
      <w:pPr>
        <w:autoSpaceDN w:val="0"/>
        <w:autoSpaceDE w:val="0"/>
        <w:widowControl/>
        <w:spacing w:line="202" w:lineRule="exact" w:before="78" w:after="0"/>
        <w:ind w:left="0" w:right="482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The complete organization of the engineered feature space is summarized in Table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9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2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160" w:lineRule="exact" w:before="1350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648970</wp:posOffset>
            </wp:positionV>
            <wp:extent cx="977773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1146810</wp:posOffset>
            </wp:positionV>
            <wp:extent cx="9777730" cy="203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0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1369060</wp:posOffset>
            </wp:positionV>
            <wp:extent cx="9777730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1581150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1794510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2006600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2219960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2433320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2645410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2858770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3070860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3284220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3496310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3709670</wp:posOffset>
            </wp:positionV>
            <wp:extent cx="9777730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3919220</wp:posOffset>
            </wp:positionV>
            <wp:extent cx="9777730" cy="203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03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5340" w:val="left"/>
        </w:tabs>
        <w:autoSpaceDE w:val="0"/>
        <w:widowControl/>
        <w:spacing w:line="142" w:lineRule="exact" w:before="0" w:after="0"/>
        <w:ind w:left="476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11 of 19</w:t>
      </w:r>
    </w:p>
    <w:p>
      <w:pPr>
        <w:autoSpaceDN w:val="0"/>
        <w:autoSpaceDE w:val="0"/>
        <w:widowControl/>
        <w:spacing w:line="182" w:lineRule="exact" w:before="608" w:after="180"/>
        <w:ind w:left="3082" w:right="0" w:firstLine="0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Table 2.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Engineered temporal descriptors constituting the MACD–SCDM feature representation.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700" w:type="dxa"/>
      </w:tblPr>
      <w:tblGrid>
        <w:gridCol w:w="2940" w:type="dxa"/>
        <w:gridCol w:w="2960" w:type="dxa"/>
        <w:gridCol w:w="3980" w:type="dxa"/>
        <w:gridCol w:w="4280" w:type="dxa"/>
      </w:tblGrid>
      <w:tr>
        <w:trPr>
          <w:trHeight w:hRule="exact" w:val="318"/>
        </w:trPr>
        <w:tc>
          <w:tcPr>
            <w:tcW w:type="dxa" w:w="2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0" w:right="558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Descriptor Family</w:t>
            </w:r>
          </w:p>
        </w:tc>
        <w:tc>
          <w:tcPr>
            <w:tcW w:type="dxa" w:w="2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580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Engineered Descriptor</w:t>
            </w:r>
          </w:p>
        </w:tc>
        <w:tc>
          <w:tcPr>
            <w:tcW w:type="dxa" w:w="3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33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Features per Laboratory</w:t>
            </w:r>
          </w:p>
        </w:tc>
        <w:tc>
          <w:tcPr>
            <w:tcW w:type="dxa" w:w="4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20"/>
              </w:rPr>
              <w:t>Interpretation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40" w:type="dxa"/>
      </w:tblPr>
      <w:tblGrid>
        <w:gridCol w:w="4040" w:type="dxa"/>
        <w:gridCol w:w="2340" w:type="dxa"/>
        <w:gridCol w:w="2420" w:type="dxa"/>
        <w:gridCol w:w="6640" w:type="dxa"/>
      </w:tblGrid>
      <w:tr>
        <w:trPr>
          <w:trHeight w:hRule="exact" w:val="322"/>
        </w:trPr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37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Absolute level/first-order statistics</w:t>
            </w:r>
          </w:p>
        </w:tc>
        <w:tc>
          <w:tcPr>
            <w:tcW w:type="dxa" w:w="2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8" w:after="0"/>
              <w:ind w:left="0" w:right="122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Mean</w:t>
            </w:r>
          </w:p>
        </w:tc>
        <w:tc>
          <w:tcPr>
            <w:tcW w:type="dxa" w:w="2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8" w:after="0"/>
              <w:ind w:left="0" w:right="107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6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109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Average laboratory level within the observation window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200" w:type="dxa"/>
      </w:tblPr>
      <w:tblGrid>
        <w:gridCol w:w="4820" w:type="dxa"/>
        <w:gridCol w:w="1920" w:type="dxa"/>
        <w:gridCol w:w="7040" w:type="dxa"/>
      </w:tblGrid>
      <w:tr>
        <w:trPr>
          <w:trHeight w:hRule="exact" w:val="330"/>
        </w:trPr>
        <w:tc>
          <w:tcPr>
            <w:tcW w:type="dxa" w:w="4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68" w:after="0"/>
              <w:ind w:left="0" w:right="93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Standard deviation</w:t>
            </w:r>
          </w:p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7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7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60" w:after="0"/>
              <w:ind w:left="89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Sample standard deviation of the laboratory trajectory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(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ddo f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=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 xml:space="preserve"> 1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)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400" w:type="dxa"/>
      </w:tblPr>
      <w:tblGrid>
        <w:gridCol w:w="4420" w:type="dxa"/>
        <w:gridCol w:w="3060" w:type="dxa"/>
        <w:gridCol w:w="5160" w:type="dxa"/>
      </w:tblGrid>
      <w:tr>
        <w:trPr>
          <w:trHeight w:hRule="exact" w:val="268"/>
        </w:trPr>
        <w:tc>
          <w:tcPr>
            <w:tcW w:type="dxa" w:w="4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6" w:after="0"/>
              <w:ind w:left="0" w:right="112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Minimum</w:t>
            </w:r>
          </w:p>
        </w:tc>
        <w:tc>
          <w:tcPr>
            <w:tcW w:type="dxa" w:w="3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6" w:after="0"/>
              <w:ind w:left="0" w:right="181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5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60" w:after="0"/>
              <w:ind w:left="0" w:right="129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Lowest observed value</w:t>
            </w:r>
          </w:p>
        </w:tc>
      </w:tr>
    </w:tbl>
    <w:p>
      <w:pPr>
        <w:autoSpaceDN w:val="0"/>
        <w:autoSpaceDE w:val="0"/>
        <w:widowControl/>
        <w:spacing w:line="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80" w:type="dxa"/>
      </w:tblPr>
      <w:tblGrid>
        <w:gridCol w:w="4440" w:type="dxa"/>
        <w:gridCol w:w="3040" w:type="dxa"/>
        <w:gridCol w:w="5200" w:type="dxa"/>
      </w:tblGrid>
      <w:tr>
        <w:trPr>
          <w:trHeight w:hRule="exact" w:val="322"/>
        </w:trPr>
        <w:tc>
          <w:tcPr>
            <w:tcW w:type="dxa" w:w="4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8" w:after="0"/>
              <w:ind w:left="0" w:right="111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Maximum</w:t>
            </w:r>
          </w:p>
        </w:tc>
        <w:tc>
          <w:tcPr>
            <w:tcW w:type="dxa" w:w="3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6" w:after="0"/>
              <w:ind w:left="0" w:right="179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5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0" w:right="128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Highest observed value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420" w:type="dxa"/>
      </w:tblPr>
      <w:tblGrid>
        <w:gridCol w:w="4380" w:type="dxa"/>
        <w:gridCol w:w="2080" w:type="dxa"/>
        <w:gridCol w:w="7160" w:type="dxa"/>
      </w:tblGrid>
      <w:tr>
        <w:trPr>
          <w:trHeight w:hRule="exact" w:val="330"/>
        </w:trPr>
        <w:tc>
          <w:tcPr>
            <w:tcW w:type="dxa" w:w="4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70" w:after="0"/>
              <w:ind w:left="0" w:right="11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Volatility</w:t>
            </w:r>
          </w:p>
        </w:tc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76" w:after="0"/>
              <w:ind w:left="0" w:right="81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7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60" w:after="0"/>
              <w:ind w:left="82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Population standard deviation of the laboratory trajectory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(</w:t>
            </w:r>
            <w:r>
              <w:rPr>
                <w:spacing w:val="-10"/>
                <w:rFonts w:ascii="URWPalladioL" w:hAnsi="URWPalladioL" w:eastAsia="URWPalladioL"/>
                <w:i/>
                <w:color w:val="000000"/>
                <w:sz w:val="20"/>
              </w:rPr>
              <w:t>ddo f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 xml:space="preserve"> =</w:t>
            </w: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 xml:space="preserve"> 0</w:t>
            </w:r>
            <w:r>
              <w:rPr>
                <w:spacing w:val="-10"/>
                <w:w w:val="98.86761619931175"/>
                <w:rFonts w:ascii="CMR10" w:hAnsi="CMR10" w:eastAsia="CMR10"/>
                <w:color w:val="000000"/>
                <w:sz w:val="21"/>
              </w:rPr>
              <w:t>)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740" w:type="dxa"/>
        <w:gridCol w:w="2980" w:type="dxa"/>
        <w:gridCol w:w="2540" w:type="dxa"/>
        <w:gridCol w:w="6400" w:type="dxa"/>
      </w:tblGrid>
      <w:tr>
        <w:trPr>
          <w:trHeight w:hRule="exact" w:val="322"/>
        </w:trPr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0" w:after="0"/>
              <w:ind w:left="0" w:right="122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Trend</w:t>
            </w:r>
          </w:p>
        </w:tc>
        <w:tc>
          <w:tcPr>
            <w:tcW w:type="dxa" w:w="2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Slope</w:t>
            </w:r>
          </w:p>
        </w:tc>
        <w:tc>
          <w:tcPr>
            <w:tcW w:type="dxa" w:w="2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6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120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Direction and magnitude of linear temporal change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860" w:type="dxa"/>
      </w:tblPr>
      <w:tblGrid>
        <w:gridCol w:w="2980" w:type="dxa"/>
        <w:gridCol w:w="2920" w:type="dxa"/>
        <w:gridCol w:w="2580" w:type="dxa"/>
        <w:gridCol w:w="6240" w:type="dxa"/>
      </w:tblGrid>
      <w:tr>
        <w:trPr>
          <w:trHeight w:hRule="exact" w:val="320"/>
        </w:trPr>
        <w:tc>
          <w:tcPr>
            <w:tcW w:type="dxa" w:w="2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66" w:after="0"/>
              <w:ind w:left="0" w:right="105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Momentum</w:t>
            </w:r>
          </w:p>
        </w:tc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64" w:after="0"/>
              <w:ind w:left="0" w:right="119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MACD</w:t>
            </w:r>
          </w:p>
        </w:tc>
        <w:tc>
          <w:tcPr>
            <w:tcW w:type="dxa" w:w="2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6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29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Difference between short- and long-term EMAs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00" w:type="dxa"/>
      </w:tblPr>
      <w:tblGrid>
        <w:gridCol w:w="4600" w:type="dxa"/>
        <w:gridCol w:w="2320" w:type="dxa"/>
        <w:gridCol w:w="6480" w:type="dxa"/>
      </w:tblGrid>
      <w:tr>
        <w:trPr>
          <w:trHeight w:hRule="exact" w:val="322"/>
        </w:trPr>
        <w:tc>
          <w:tcPr>
            <w:tcW w:type="dxa" w:w="4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0" w:right="104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MACD signal</w:t>
            </w:r>
          </w:p>
        </w:tc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8" w:after="0"/>
              <w:ind w:left="0" w:right="115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6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115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Smoothed temporal behavior of the MACD trajectory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220" w:type="dxa"/>
      </w:tblPr>
      <w:tblGrid>
        <w:gridCol w:w="4780" w:type="dxa"/>
        <w:gridCol w:w="2400" w:type="dxa"/>
        <w:gridCol w:w="6140" w:type="dxa"/>
      </w:tblGrid>
      <w:tr>
        <w:trPr>
          <w:trHeight w:hRule="exact" w:val="320"/>
        </w:trPr>
        <w:tc>
          <w:tcPr>
            <w:tcW w:type="dxa" w:w="4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0" w:right="96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MACD histogram</w:t>
            </w:r>
          </w:p>
        </w:tc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66" w:after="0"/>
              <w:ind w:left="0" w:right="133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6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33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Difference between MACD and its signal line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60" w:type="dxa"/>
      </w:tblPr>
      <w:tblGrid>
        <w:gridCol w:w="3400" w:type="dxa"/>
        <w:gridCol w:w="2680" w:type="dxa"/>
        <w:gridCol w:w="2260" w:type="dxa"/>
        <w:gridCol w:w="6920" w:type="dxa"/>
      </w:tblGrid>
      <w:tr>
        <w:trPr>
          <w:trHeight w:hRule="exact" w:val="320"/>
        </w:trPr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66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Temporal persistence</w:t>
            </w:r>
          </w:p>
        </w:tc>
        <w:tc>
          <w:tcPr>
            <w:tcW w:type="dxa" w:w="2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62" w:after="0"/>
              <w:ind w:left="0" w:right="120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SCDM</w:t>
            </w:r>
          </w:p>
        </w:tc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66" w:after="0"/>
              <w:ind w:left="0" w:right="93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1</w:t>
            </w:r>
          </w:p>
        </w:tc>
        <w:tc>
          <w:tcPr>
            <w:tcW w:type="dxa" w:w="6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93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20"/>
              </w:rPr>
              <w:t>Lag-1 autocorrelation between consecutive hourly observations</w:t>
            </w:r>
          </w:p>
        </w:tc>
      </w:tr>
    </w:tbl>
    <w:p>
      <w:pPr>
        <w:autoSpaceDN w:val="0"/>
        <w:tabs>
          <w:tab w:pos="7916" w:val="left"/>
        </w:tabs>
        <w:autoSpaceDE w:val="0"/>
        <w:widowControl/>
        <w:spacing w:line="202" w:lineRule="exact" w:before="74" w:after="0"/>
        <w:ind w:left="1006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Total per laboratory variable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10</w:t>
      </w:r>
    </w:p>
    <w:p>
      <w:pPr>
        <w:autoSpaceDN w:val="0"/>
        <w:tabs>
          <w:tab w:pos="7916" w:val="left"/>
        </w:tabs>
        <w:autoSpaceDE w:val="0"/>
        <w:widowControl/>
        <w:spacing w:line="202" w:lineRule="exact" w:before="132" w:after="0"/>
        <w:ind w:left="652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Total across five laboratory variables </w:t>
      </w: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50</w:t>
      </w:r>
    </w:p>
    <w:p>
      <w:pPr>
        <w:autoSpaceDN w:val="0"/>
        <w:autoSpaceDE w:val="0"/>
        <w:widowControl/>
        <w:spacing w:line="182" w:lineRule="exact" w:before="124" w:after="0"/>
        <w:ind w:left="309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>The table shows the composition of the engineered MACD–SCDM temporal feature representation. Ten descriptors were extracted from each of five laboratory</w:t>
      </w:r>
    </w:p>
    <w:p>
      <w:pPr>
        <w:autoSpaceDN w:val="0"/>
        <w:autoSpaceDE w:val="0"/>
        <w:widowControl/>
        <w:spacing w:line="182" w:lineRule="exact" w:before="38" w:after="0"/>
        <w:ind w:left="3094" w:right="0" w:firstLine="0"/>
        <w:jc w:val="left"/>
      </w:pP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>trajectories, yielding a maximum of 50 engineered features per admission. SCDM was operationalized as lag-1 Pearson autocorrelation in the present implementation.</w:t>
      </w:r>
    </w:p>
    <w:p>
      <w:pPr>
        <w:autoSpaceDN w:val="0"/>
        <w:autoSpaceDE w:val="0"/>
        <w:widowControl/>
        <w:spacing w:line="160" w:lineRule="exact" w:before="4522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6838" w:h="11906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5015230</wp:posOffset>
            </wp:positionV>
            <wp:extent cx="6645909" cy="203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5205730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5387340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5567680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5749290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5930900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6111240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6290310</wp:posOffset>
            </wp:positionV>
            <wp:extent cx="6645909" cy="203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12 of 19</w:t>
      </w:r>
    </w:p>
    <w:p>
      <w:pPr>
        <w:autoSpaceDN w:val="0"/>
        <w:autoSpaceDE w:val="0"/>
        <w:widowControl/>
        <w:spacing w:line="148" w:lineRule="exact" w:before="614" w:after="0"/>
        <w:ind w:left="0" w:right="3316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3.2.2. Feature Construction Across Observation Horizons</w:t>
      </w:r>
    </w:p>
    <w:p>
      <w:pPr>
        <w:autoSpaceDN w:val="0"/>
        <w:autoSpaceDE w:val="0"/>
        <w:widowControl/>
        <w:spacing w:line="278" w:lineRule="exact" w:before="114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Feature extraction was performed separately within the 0–12 h, 0–18 h, and 0–24 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observation windows. For each horizon, only laboratory measurements available up to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corresponding observation endpoint were used to construct the temporal descriptors.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Because the amount of longitudinal information differed across horizons, not every source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admission satisfied the requirements for temporal feature const</w:t>
      </w:r>
      <w:hyperlink r:id="rId95" w:history="1">
        <w:r>
          <w:rPr>
            <w:rStyle w:val="Hyperlink"/>
            <w:rFonts w:ascii="URWPalladioL" w:hAnsi="URWPalladioL" w:eastAsia="URWPalladioL" w:cs="URWPalladioL"/>
            <w:sz w:val="20.074081420898438"/>
            <w:color w:val="000000"/>
            <w:spacing w:val="-10"/>
          </w:rPr>
          <w:t>ruc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tion at eve</w:t>
      </w:r>
      <w:hyperlink r:id="rId88" w:history="1">
        <w:r>
          <w:rPr>
            <w:rStyle w:val="Hyperlink"/>
            <w:rFonts w:ascii="URWPalladioL" w:hAnsi="URWPalladioL" w:eastAsia="URWPalladioL" w:cs="URWPalladioL"/>
            <w:sz w:val="20.074081420898438"/>
            <w:color w:val="000000"/>
            <w:spacing w:val="-10"/>
          </w:rPr>
          <w:t>r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y window,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resulting in the horizon-specific cohort sizes reported in Section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95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3.1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 and Table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88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278" w:lineRule="exact" w:before="0" w:after="0"/>
        <w:ind w:left="3088" w:right="480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Importantly, the feature definitions and extraction procedure were held constant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across all three observation horizons. This design enabled the behavior of the proposed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temporal representation to be evaluated as progressively longer laboratory trajectories</w:t>
      </w:r>
    </w:p>
    <w:p>
      <w:pPr>
        <w:autoSpaceDN w:val="0"/>
        <w:autoSpaceDE w:val="0"/>
        <w:widowControl/>
        <w:spacing w:line="148" w:lineRule="exact" w:before="78" w:after="0"/>
        <w:ind w:left="0" w:right="6782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became available.</w:t>
      </w:r>
    </w:p>
    <w:p>
      <w:pPr>
        <w:autoSpaceDN w:val="0"/>
        <w:autoSpaceDE w:val="0"/>
        <w:widowControl/>
        <w:spacing w:line="200" w:lineRule="exact" w:before="322" w:after="0"/>
        <w:ind w:left="0" w:right="3686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3.3. Predictive Performance Across Observation Horizons</w:t>
      </w:r>
    </w:p>
    <w:p>
      <w:pPr>
        <w:autoSpaceDN w:val="0"/>
        <w:autoSpaceDE w:val="0"/>
        <w:widowControl/>
        <w:spacing w:line="278" w:lineRule="exact" w:before="62" w:after="0"/>
        <w:ind w:left="3080" w:right="480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Predictive performance was evaluated independently at the 12 h, 18 h, and 24 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observation horizons using repeated pati</w:t>
      </w:r>
      <w:hyperlink r:id="rId96" w:history="1">
        <w:r>
          <w:rPr>
            <w:rStyle w:val="Hyperlink"/>
            <w:rFonts w:ascii="URWPalladioL" w:hAnsi="URWPalladioL" w:eastAsia="URWPalladioL" w:cs="URWPalladioL"/>
            <w:sz w:val="19.945114135742188"/>
            <w:color w:val="000000"/>
            <w:spacing w:val="-10"/>
          </w:rPr>
          <w:t>e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nt-grouped cross-validation, with the complete </w:t>
      </w:r>
      <w:r>
        <w:br/>
      </w:r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>performance results summarized in Table</w:t>
      </w:r>
      <w:r>
        <w:rPr>
          <w:spacing w:val="-10"/>
          <w:w w:val="98.77554893493652"/>
          <w:rFonts w:ascii="URWPalladioL" w:hAnsi="URWPalladioL" w:eastAsia="URWPalladioL"/>
          <w:color w:val="0875B7"/>
          <w:sz w:val="20"/>
        </w:rPr>
        <w:t xml:space="preserve"> </w:t>
      </w:r>
      <w:hyperlink r:id="rId96" w:history="1">
        <w:r>
          <w:rPr>
            <w:rStyle w:val="Hyperlink"/>
            <w:rFonts w:ascii="URWPalladioL" w:hAnsi="URWPalladioL" w:eastAsia="URWPalladioL" w:cs="URWPalladioL"/>
            <w:sz w:val="19.755109786987305"/>
            <w:color w:val="0875B7"/>
            <w:w w:val="98.77554893493652"/>
            <w:spacing w:val="-10"/>
          </w:rPr>
          <w:t>3</w:t>
        </w:r>
      </w:hyperlink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 xml:space="preserve">. HistGradientBoosting and Logistic Regression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were evaluated using the same combined 50-feature MACD–SCDM representation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identical validation partitions.</w:t>
      </w:r>
    </w:p>
    <w:p>
      <w:pPr>
        <w:autoSpaceDN w:val="0"/>
        <w:autoSpaceDE w:val="0"/>
        <w:widowControl/>
        <w:spacing w:line="256" w:lineRule="exact" w:before="234" w:after="216"/>
        <w:ind w:left="3088" w:right="432" w:hanging="6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Table 3.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Predictive performance across laboratory observation horizons using repeated patient-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grouped cross-validation. AUROC and AUPRC are reported as mean</w:t>
      </w:r>
      <w:r>
        <w:rPr>
          <w:spacing w:val="-10"/>
          <w:w w:val="98.3473727577611"/>
          <w:rFonts w:ascii="CMSY10" w:hAnsi="CMSY10" w:eastAsia="CMSY10"/>
          <w:i/>
          <w:color w:val="000000"/>
          <w:sz w:val="19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SD across valid validation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folds; threshold-dependent metrics represent mean fold-level performance at the predefined proba-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bility threshold of 0.50.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0" w:type="dxa"/>
      </w:tblPr>
      <w:tblGrid>
        <w:gridCol w:w="1000" w:type="dxa"/>
        <w:gridCol w:w="780" w:type="dxa"/>
        <w:gridCol w:w="1100" w:type="dxa"/>
        <w:gridCol w:w="1060" w:type="dxa"/>
        <w:gridCol w:w="980" w:type="dxa"/>
        <w:gridCol w:w="900" w:type="dxa"/>
        <w:gridCol w:w="720" w:type="dxa"/>
        <w:gridCol w:w="1040" w:type="dxa"/>
        <w:gridCol w:w="520" w:type="dxa"/>
        <w:gridCol w:w="1000" w:type="dxa"/>
        <w:gridCol w:w="760" w:type="dxa"/>
        <w:gridCol w:w="920" w:type="dxa"/>
      </w:tblGrid>
      <w:tr>
        <w:trPr>
          <w:trHeight w:hRule="exact" w:val="276"/>
        </w:trPr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2" w:after="0"/>
              <w:ind w:left="0" w:right="96" w:firstLine="0"/>
              <w:jc w:val="right"/>
            </w:pPr>
            <w:r>
              <w:rPr>
                <w:spacing w:val="-10"/>
                <w:w w:val="98.6249566078186"/>
                <w:rFonts w:ascii="URWPalladioL" w:hAnsi="URWPalladioL" w:eastAsia="URWPalladioL"/>
                <w:b/>
                <w:color w:val="000000"/>
                <w:sz w:val="16"/>
              </w:rPr>
              <w:t>Horizon</w:t>
            </w:r>
          </w:p>
        </w:tc>
        <w:tc>
          <w:tcPr>
            <w:tcW w:type="dxa" w:w="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Model</w:t>
            </w:r>
          </w:p>
        </w:tc>
        <w:tc>
          <w:tcPr>
            <w:tcW w:type="dxa" w:w="1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AUROC</w:t>
            </w:r>
          </w:p>
        </w:tc>
        <w:tc>
          <w:tcPr>
            <w:tcW w:type="dxa" w:w="1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4" w:after="0"/>
              <w:ind w:left="0" w:right="190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AUPRC</w:t>
            </w:r>
          </w:p>
        </w:tc>
        <w:tc>
          <w:tcPr>
            <w:tcW w:type="dxa" w:w="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64" w:after="0"/>
              <w:ind w:left="222" w:right="0" w:firstLine="0"/>
              <w:jc w:val="left"/>
            </w:pPr>
            <w:r>
              <w:rPr>
                <w:spacing w:val="-10"/>
                <w:w w:val="98.6249566078186"/>
                <w:rFonts w:ascii="URWPalladioL" w:hAnsi="URWPalladioL" w:eastAsia="URWPalladioL"/>
                <w:b/>
                <w:color w:val="000000"/>
                <w:sz w:val="16"/>
              </w:rPr>
              <w:t>Accuracy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2" w:after="0"/>
              <w:ind w:left="0" w:right="0" w:firstLine="0"/>
              <w:jc w:val="center"/>
            </w:pPr>
            <w:r>
              <w:rPr>
                <w:spacing w:val="-10"/>
                <w:w w:val="98.6249566078186"/>
                <w:rFonts w:ascii="URWPalladioL" w:hAnsi="URWPalladioL" w:eastAsia="URWPalladioL"/>
                <w:b/>
                <w:color w:val="000000"/>
                <w:sz w:val="16"/>
              </w:rPr>
              <w:t>Precision</w:t>
            </w:r>
          </w:p>
        </w:tc>
        <w:tc>
          <w:tcPr>
            <w:tcW w:type="dxa" w:w="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Recall</w:t>
            </w:r>
          </w:p>
        </w:tc>
        <w:tc>
          <w:tcPr>
            <w:tcW w:type="dxa" w:w="1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60" w:after="0"/>
              <w:ind w:left="0" w:right="0" w:firstLine="0"/>
              <w:jc w:val="center"/>
            </w:pPr>
            <w:r>
              <w:rPr>
                <w:spacing w:val="-10"/>
                <w:w w:val="98.6249566078186"/>
                <w:rFonts w:ascii="URWPalladioL" w:hAnsi="URWPalladioL" w:eastAsia="URWPalladioL"/>
                <w:b/>
                <w:color w:val="000000"/>
                <w:sz w:val="16"/>
              </w:rPr>
              <w:t>Specificity</w:t>
            </w:r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F1</w:t>
            </w:r>
          </w:p>
        </w:tc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Bal. Acc.</w:t>
            </w:r>
          </w:p>
        </w:tc>
        <w:tc>
          <w:tcPr>
            <w:tcW w:type="dxa" w:w="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MCC</w:t>
            </w:r>
          </w:p>
        </w:tc>
        <w:tc>
          <w:tcPr>
            <w:tcW w:type="dxa" w:w="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2" w:after="0"/>
              <w:ind w:left="21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Brier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60" w:type="dxa"/>
      </w:tblPr>
      <w:tblGrid>
        <w:gridCol w:w="880" w:type="dxa"/>
        <w:gridCol w:w="720" w:type="dxa"/>
        <w:gridCol w:w="1200" w:type="dxa"/>
        <w:gridCol w:w="1220" w:type="dxa"/>
        <w:gridCol w:w="800" w:type="dxa"/>
        <w:gridCol w:w="860" w:type="dxa"/>
        <w:gridCol w:w="840" w:type="dxa"/>
        <w:gridCol w:w="820" w:type="dxa"/>
        <w:gridCol w:w="800" w:type="dxa"/>
        <w:gridCol w:w="780" w:type="dxa"/>
        <w:gridCol w:w="880" w:type="dxa"/>
        <w:gridCol w:w="900" w:type="dxa"/>
      </w:tblGrid>
      <w:tr>
        <w:trPr>
          <w:trHeight w:hRule="exact" w:val="238"/>
        </w:trPr>
        <w:tc>
          <w:tcPr>
            <w:tcW w:type="dxa" w:w="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22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12 h</w:t>
            </w:r>
          </w:p>
        </w:tc>
        <w:tc>
          <w:tcPr>
            <w:tcW w:type="dxa" w:w="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2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HGB</w:t>
            </w:r>
          </w:p>
        </w:tc>
        <w:tc>
          <w:tcPr>
            <w:tcW w:type="dxa" w:w="1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0.464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0.163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0.283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0.149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0.700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0.080</w:t>
            </w:r>
          </w:p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0.048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0.864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0.058</w:t>
            </w:r>
          </w:p>
        </w:tc>
        <w:tc>
          <w:tcPr>
            <w:tcW w:type="dxa" w:w="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0.456</w:t>
            </w:r>
          </w:p>
        </w:tc>
        <w:tc>
          <w:tcPr>
            <w:tcW w:type="dxa" w:w="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>−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0.086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200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0.255</w:t>
            </w:r>
          </w:p>
        </w:tc>
      </w:tr>
    </w:tbl>
    <w:p>
      <w:pPr>
        <w:autoSpaceDN w:val="0"/>
        <w:autoSpaceDE w:val="0"/>
        <w:widowControl/>
        <w:spacing w:line="4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60" w:type="dxa"/>
      </w:tblPr>
      <w:tblGrid>
        <w:gridCol w:w="900" w:type="dxa"/>
        <w:gridCol w:w="660" w:type="dxa"/>
        <w:gridCol w:w="1240" w:type="dxa"/>
        <w:gridCol w:w="1220" w:type="dxa"/>
        <w:gridCol w:w="800" w:type="dxa"/>
        <w:gridCol w:w="860" w:type="dxa"/>
        <w:gridCol w:w="840" w:type="dxa"/>
        <w:gridCol w:w="820" w:type="dxa"/>
        <w:gridCol w:w="800" w:type="dxa"/>
        <w:gridCol w:w="820" w:type="dxa"/>
        <w:gridCol w:w="800" w:type="dxa"/>
        <w:gridCol w:w="940" w:type="dxa"/>
      </w:tblGrid>
      <w:tr>
        <w:trPr>
          <w:trHeight w:hRule="exact" w:val="238"/>
        </w:trPr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2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12 h</w:t>
            </w:r>
          </w:p>
        </w:tc>
        <w:tc>
          <w:tcPr>
            <w:tcW w:type="dxa" w:w="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4" w:after="0"/>
              <w:ind w:left="0" w:right="18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LR</w:t>
            </w:r>
          </w:p>
        </w:tc>
        <w:tc>
          <w:tcPr>
            <w:tcW w:type="dxa" w:w="1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02" w:right="0" w:firstLine="0"/>
              <w:jc w:val="left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0.655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0.157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0.418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0.176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0.721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0.247</w:t>
            </w:r>
          </w:p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0.233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0.853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0.212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0.543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0.083</w:t>
            </w:r>
          </w:p>
        </w:tc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0.218</w:t>
            </w:r>
          </w:p>
        </w:tc>
      </w:tr>
    </w:tbl>
    <w:p>
      <w:pPr>
        <w:autoSpaceDN w:val="0"/>
        <w:autoSpaceDE w:val="0"/>
        <w:widowControl/>
        <w:spacing w:line="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60" w:type="dxa"/>
      </w:tblPr>
      <w:tblGrid>
        <w:gridCol w:w="880" w:type="dxa"/>
        <w:gridCol w:w="720" w:type="dxa"/>
        <w:gridCol w:w="1200" w:type="dxa"/>
        <w:gridCol w:w="1220" w:type="dxa"/>
        <w:gridCol w:w="800" w:type="dxa"/>
        <w:gridCol w:w="860" w:type="dxa"/>
        <w:gridCol w:w="840" w:type="dxa"/>
        <w:gridCol w:w="820" w:type="dxa"/>
        <w:gridCol w:w="800" w:type="dxa"/>
        <w:gridCol w:w="820" w:type="dxa"/>
        <w:gridCol w:w="800" w:type="dxa"/>
        <w:gridCol w:w="940" w:type="dxa"/>
      </w:tblGrid>
      <w:tr>
        <w:trPr>
          <w:trHeight w:hRule="exact" w:val="240"/>
        </w:trPr>
        <w:tc>
          <w:tcPr>
            <w:tcW w:type="dxa" w:w="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0" w:lineRule="exact" w:before="60" w:after="0"/>
              <w:ind w:left="0" w:right="22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18 h</w:t>
            </w:r>
          </w:p>
        </w:tc>
        <w:tc>
          <w:tcPr>
            <w:tcW w:type="dxa" w:w="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HGB</w:t>
            </w:r>
          </w:p>
        </w:tc>
        <w:tc>
          <w:tcPr>
            <w:tcW w:type="dxa" w:w="1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0.665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0.132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0.327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0.137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0.809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0.123</w:t>
            </w:r>
          </w:p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0.106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0.943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0.110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0.524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0.039</w:t>
            </w:r>
          </w:p>
        </w:tc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3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0.171</w:t>
            </w:r>
          </w:p>
        </w:tc>
      </w:tr>
    </w:tbl>
    <w:p>
      <w:pPr>
        <w:autoSpaceDN w:val="0"/>
        <w:autoSpaceDE w:val="0"/>
        <w:widowControl/>
        <w:spacing w:line="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60" w:type="dxa"/>
      </w:tblPr>
      <w:tblGrid>
        <w:gridCol w:w="900" w:type="dxa"/>
        <w:gridCol w:w="660" w:type="dxa"/>
        <w:gridCol w:w="1240" w:type="dxa"/>
        <w:gridCol w:w="1220" w:type="dxa"/>
        <w:gridCol w:w="800" w:type="dxa"/>
        <w:gridCol w:w="860" w:type="dxa"/>
        <w:gridCol w:w="840" w:type="dxa"/>
        <w:gridCol w:w="820" w:type="dxa"/>
        <w:gridCol w:w="800" w:type="dxa"/>
        <w:gridCol w:w="820" w:type="dxa"/>
        <w:gridCol w:w="800" w:type="dxa"/>
        <w:gridCol w:w="940" w:type="dxa"/>
      </w:tblGrid>
      <w:tr>
        <w:trPr>
          <w:trHeight w:hRule="exact" w:val="238"/>
        </w:trPr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60" w:after="0"/>
              <w:ind w:left="0" w:right="2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18 h</w:t>
            </w:r>
          </w:p>
        </w:tc>
        <w:tc>
          <w:tcPr>
            <w:tcW w:type="dxa" w:w="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6" w:after="0"/>
              <w:ind w:left="0" w:right="18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LR</w:t>
            </w:r>
          </w:p>
        </w:tc>
        <w:tc>
          <w:tcPr>
            <w:tcW w:type="dxa" w:w="1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02" w:right="0" w:firstLine="0"/>
              <w:jc w:val="left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0.654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0.210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0.363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0.186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0.779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0.206</w:t>
            </w:r>
          </w:p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0.165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0.894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0.180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0.529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0.066</w:t>
            </w:r>
          </w:p>
        </w:tc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0.168</w:t>
            </w:r>
          </w:p>
        </w:tc>
      </w:tr>
    </w:tbl>
    <w:p>
      <w:pPr>
        <w:autoSpaceDN w:val="0"/>
        <w:autoSpaceDE w:val="0"/>
        <w:widowControl/>
        <w:spacing w:line="4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60" w:type="dxa"/>
      </w:tblPr>
      <w:tblGrid>
        <w:gridCol w:w="880" w:type="dxa"/>
        <w:gridCol w:w="720" w:type="dxa"/>
        <w:gridCol w:w="1200" w:type="dxa"/>
        <w:gridCol w:w="1220" w:type="dxa"/>
        <w:gridCol w:w="800" w:type="dxa"/>
        <w:gridCol w:w="860" w:type="dxa"/>
        <w:gridCol w:w="840" w:type="dxa"/>
        <w:gridCol w:w="820" w:type="dxa"/>
        <w:gridCol w:w="800" w:type="dxa"/>
        <w:gridCol w:w="820" w:type="dxa"/>
        <w:gridCol w:w="800" w:type="dxa"/>
        <w:gridCol w:w="940" w:type="dxa"/>
      </w:tblGrid>
      <w:tr>
        <w:trPr>
          <w:trHeight w:hRule="exact" w:val="238"/>
        </w:trPr>
        <w:tc>
          <w:tcPr>
            <w:tcW w:type="dxa" w:w="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22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24 h</w:t>
            </w:r>
          </w:p>
        </w:tc>
        <w:tc>
          <w:tcPr>
            <w:tcW w:type="dxa" w:w="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2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HGB</w:t>
            </w:r>
          </w:p>
        </w:tc>
        <w:tc>
          <w:tcPr>
            <w:tcW w:type="dxa" w:w="1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0.682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0.139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0.332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0.181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0.829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0.283</w:t>
            </w:r>
          </w:p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0.079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0.951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0.114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0.515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0.067</w:t>
            </w:r>
          </w:p>
        </w:tc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0.152</w:t>
            </w:r>
          </w:p>
        </w:tc>
      </w:tr>
    </w:tbl>
    <w:p>
      <w:pPr>
        <w:autoSpaceDN w:val="0"/>
        <w:autoSpaceDE w:val="0"/>
        <w:widowControl/>
        <w:spacing w:line="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60" w:type="dxa"/>
      </w:tblPr>
      <w:tblGrid>
        <w:gridCol w:w="900" w:type="dxa"/>
        <w:gridCol w:w="660" w:type="dxa"/>
        <w:gridCol w:w="1240" w:type="dxa"/>
        <w:gridCol w:w="1220" w:type="dxa"/>
        <w:gridCol w:w="800" w:type="dxa"/>
        <w:gridCol w:w="860" w:type="dxa"/>
        <w:gridCol w:w="840" w:type="dxa"/>
        <w:gridCol w:w="820" w:type="dxa"/>
        <w:gridCol w:w="800" w:type="dxa"/>
        <w:gridCol w:w="820" w:type="dxa"/>
        <w:gridCol w:w="800" w:type="dxa"/>
        <w:gridCol w:w="940" w:type="dxa"/>
      </w:tblGrid>
      <w:tr>
        <w:trPr>
          <w:trHeight w:hRule="exact" w:val="240"/>
        </w:trPr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2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24 h</w:t>
            </w:r>
          </w:p>
        </w:tc>
        <w:tc>
          <w:tcPr>
            <w:tcW w:type="dxa" w:w="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6" w:after="0"/>
              <w:ind w:left="0" w:right="18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LR</w:t>
            </w:r>
          </w:p>
        </w:tc>
        <w:tc>
          <w:tcPr>
            <w:tcW w:type="dxa" w:w="1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202" w:right="0" w:firstLine="0"/>
              <w:jc w:val="left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0.711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0.125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>0.376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w w:val="98.97655844688416"/>
                <w:rFonts w:ascii="URWPalladioL" w:hAnsi="URWPalladioL" w:eastAsia="URWPalladioL"/>
                <w:color w:val="000000"/>
                <w:sz w:val="16"/>
              </w:rPr>
              <w:t xml:space="preserve"> 0.146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0.797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0.298</w:t>
            </w:r>
          </w:p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0.331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0.887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0.259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0.609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0.187</w:t>
            </w:r>
          </w:p>
        </w:tc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340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0.168</w:t>
            </w:r>
          </w:p>
        </w:tc>
      </w:tr>
    </w:tbl>
    <w:p>
      <w:pPr>
        <w:autoSpaceDN w:val="0"/>
        <w:autoSpaceDE w:val="0"/>
        <w:widowControl/>
        <w:spacing w:line="278" w:lineRule="exact" w:before="380" w:after="0"/>
        <w:ind w:left="3088" w:right="480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>For HistGradientBoosting, mean AUROC increased from 0.464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0.163 at 12 h to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0.665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0.132 at 18 h and 0.682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0.139 at 24 h. Corresponding AUPRC values were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0.283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0.149, 0.327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0.137, and 0.332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0.181, respectively. Logistic Regression achieved</w:t>
      </w:r>
    </w:p>
    <w:p>
      <w:pPr>
        <w:autoSpaceDN w:val="0"/>
        <w:autoSpaceDE w:val="0"/>
        <w:widowControl/>
        <w:spacing w:line="176" w:lineRule="exact" w:before="78" w:after="0"/>
        <w:ind w:left="0" w:right="4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AUROCs of 0.655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0.157, 0.654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0.210, and 0.711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0.125 at 12, 18, and 24 h, with</w:t>
      </w:r>
    </w:p>
    <w:p>
      <w:pPr>
        <w:autoSpaceDN w:val="0"/>
        <w:autoSpaceDE w:val="0"/>
        <w:widowControl/>
        <w:spacing w:line="202" w:lineRule="exact" w:before="102" w:after="0"/>
        <w:ind w:left="0" w:right="1282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corresponding AUPRC values of 0.418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0.176, 0.363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0.186, and 0.376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0.146.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highest discrimination observed with the combined representation was therefore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obtained with Logistic Regression at 24 h. HistGradientBoosting showed progressively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higher mean AUROC with increasing observation duration, whereas Logistic Regression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showed similar performance at 12 and 18 h followed by higher discrimination at 24 h.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Given the substantial fold-to-fold variability and relatively small positive class, these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results are interpreted as exploratory evidence of horizon-dependent model behavior rather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than definitive differences between classifiers. The corresponding AUROC, AUPRC, a</w:t>
      </w:r>
      <w:hyperlink r:id="rId97" w:history="1">
        <w:r>
          <w:rPr>
            <w:rStyle w:val="Hyperlink"/>
            <w:rFonts w:ascii="URWPalladioL" w:hAnsi="URWPalladioL" w:eastAsia="URWPalladioL" w:cs="URWPalladioL"/>
            <w:sz w:val="20.004741668701172"/>
            <w:color w:val="000000"/>
            <w:spacing w:val="-10"/>
          </w:rPr>
          <w:t>n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positive-class prevalence patterns across observation horizons are illustrated in Figure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97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3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278" w:lineRule="exact" w:before="0" w:after="0"/>
        <w:ind w:left="3080" w:right="432" w:firstLine="426"/>
        <w:jc w:val="left"/>
      </w:pP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 xml:space="preserve">The variation in performance across temporal configurations indicates that increasing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duration of the observation window did not produce a monotonic improvement in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discrimination. HistGradientBoosting performed best at the intermediate 18 h horizon,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whereas Logistic Regression showed its highest AUROC at the 24 h horizon. Conversely,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both classifiers demonstrated limited discrimination in the earliest 12 h configuration,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where fewer eligible admissions and positive outcomes were available.</w:t>
      </w:r>
    </w:p>
    <w:p>
      <w:pPr>
        <w:autoSpaceDN w:val="0"/>
        <w:autoSpaceDE w:val="0"/>
        <w:widowControl/>
        <w:spacing w:line="160" w:lineRule="exact" w:before="552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781050</wp:posOffset>
            </wp:positionH>
            <wp:positionV relativeFrom="page">
              <wp:posOffset>914400</wp:posOffset>
            </wp:positionV>
            <wp:extent cx="5981700" cy="15049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5049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781050</wp:posOffset>
            </wp:positionH>
            <wp:positionV relativeFrom="page">
              <wp:posOffset>2413000</wp:posOffset>
            </wp:positionV>
            <wp:extent cx="5981700" cy="14986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498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13 of 19</w:t>
      </w:r>
    </w:p>
    <w:p>
      <w:pPr>
        <w:autoSpaceDN w:val="0"/>
        <w:autoSpaceDE w:val="0"/>
        <w:widowControl/>
        <w:spacing w:line="180" w:lineRule="exact" w:before="5500" w:after="0"/>
        <w:ind w:left="0" w:right="480" w:firstLine="0"/>
        <w:jc w:val="right"/>
      </w:pPr>
      <w:r>
        <w:rPr>
          <w:spacing w:val="-10"/>
          <w:w w:val="98.62537384033203"/>
          <w:rFonts w:ascii="URWPalladioL" w:hAnsi="URWPalladioL" w:eastAsia="URWPalladioL"/>
          <w:b/>
          <w:color w:val="000000"/>
          <w:sz w:val="18"/>
        </w:rPr>
        <w:t>Figure 3.</w:t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 xml:space="preserve"> Predictive performance across laboratory observation horizons. Mean AUROC and AUPRC</w:t>
      </w:r>
    </w:p>
    <w:p>
      <w:pPr>
        <w:autoSpaceDN w:val="0"/>
        <w:autoSpaceDE w:val="0"/>
        <w:widowControl/>
        <w:spacing w:line="134" w:lineRule="exact" w:before="76" w:after="0"/>
        <w:ind w:left="0" w:right="6606" w:firstLine="0"/>
        <w:jc w:val="right"/>
      </w:pPr>
      <w:r>
        <w:rPr>
          <w:spacing w:val="-10"/>
          <w:w w:val="98.3473727577611"/>
          <w:rFonts w:ascii="CMSY10" w:hAnsi="CMSY10" w:eastAsia="CMSY10"/>
          <w:i/>
          <w:color w:val="000000"/>
          <w:sz w:val="19"/>
        </w:rPr>
        <w:t>±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1 SD are shown for.</w:t>
      </w:r>
    </w:p>
    <w:p>
      <w:pPr>
        <w:autoSpaceDN w:val="0"/>
        <w:autoSpaceDE w:val="0"/>
        <w:widowControl/>
        <w:spacing w:line="278" w:lineRule="exact" w:before="250" w:after="0"/>
        <w:ind w:left="3082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These results suggest that the amount of longitudinal information available for tempo-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ral feature construction influences the predictive utility of the engineered descriptors.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improvement in HistGradientBoosting performance between the 12- and 18 h configura-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tions indicates that additional longitudinal measurements may provide more informative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characterization of evolving laboratory dynamics. However, the absence of further im-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provement at 24 h suggests that longer observation periods do not necessarily translate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into greater predictive discrimination.</w:t>
      </w:r>
    </w:p>
    <w:p>
      <w:pPr>
        <w:autoSpaceDN w:val="0"/>
        <w:autoSpaceDE w:val="0"/>
        <w:widowControl/>
        <w:spacing w:line="278" w:lineRule="exact" w:before="2" w:after="0"/>
        <w:ind w:left="3080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Importantly, the comparative classifier results should not be interpreted as demonstrat-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ing superiority of one learning algorithm. Rather, the evaluation was designed to examine </w:t>
      </w:r>
      <w:r>
        <w:br/>
      </w:r>
      <w:r>
        <w:rPr>
          <w:spacing w:val="-10"/>
          <w:w w:val="98.82577896118164"/>
          <w:rFonts w:ascii="URWPalladioL" w:hAnsi="URWPalladioL" w:eastAsia="URWPalladioL"/>
          <w:color w:val="000000"/>
          <w:sz w:val="20"/>
        </w:rPr>
        <w:t>whether the engineered temporal representation retained predictive information under dif-</w:t>
      </w:r>
      <w:r>
        <w:br/>
      </w:r>
      <w:r>
        <w:rPr>
          <w:spacing w:val="-10"/>
          <w:w w:val="98.67501258850098"/>
          <w:rFonts w:ascii="URWPalladioL" w:hAnsi="URWPalladioL" w:eastAsia="URWPalladioL"/>
          <w:color w:val="000000"/>
          <w:sz w:val="20"/>
        </w:rPr>
        <w:t xml:space="preserve">ferent modeling assumptions. HistGradientBoosting provided the strongest discrimination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at the 18 h horizon, whereas Logistic Regression performed comparatively better at the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24 h horizon. This variation indicates that the relationship between the engineered temporal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descriptors and admission-level sepsis status depends on both the observation horizon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classifier structure.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Given the relatively small numbers of eligible patients and positive outcomes, par-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ticularly at the 12 h configuration, these performance estimates should be interpreted as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exploratory rather than definitive measures of clinical predictive accuracy. Accordingly, the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principal purpose of the horizon analysis was to evaluate the behavior and temporal robust-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ness of the proposed MACD–SCDM representation under leakage-controlled conditions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rather than to establish a clinically deployable sepsis prediction model.</w:t>
      </w:r>
    </w:p>
    <w:p>
      <w:pPr>
        <w:autoSpaceDN w:val="0"/>
        <w:autoSpaceDE w:val="0"/>
        <w:widowControl/>
        <w:spacing w:line="278" w:lineRule="exact" w:before="2" w:after="0"/>
        <w:ind w:left="3088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HistGradientBoosting and Logistic Regression using the combined 50-feature temporal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representation at the 12 h, 18 h, and 24 h observation horizons. The right panel shows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corresponding positive-class prevalence within each horizon-specific analytical cohort. Vali-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dation was performed using repeated patient-grouped cross-validation based on subject_id.</w:t>
      </w:r>
    </w:p>
    <w:p>
      <w:pPr>
        <w:autoSpaceDN w:val="0"/>
        <w:autoSpaceDE w:val="0"/>
        <w:widowControl/>
        <w:spacing w:line="200" w:lineRule="exact" w:before="270" w:after="0"/>
        <w:ind w:left="0" w:right="5542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3.4. Feature-Set Ablation Analysis</w:t>
      </w:r>
    </w:p>
    <w:p>
      <w:pPr>
        <w:autoSpaceDN w:val="0"/>
        <w:autoSpaceDE w:val="0"/>
        <w:widowControl/>
        <w:spacing w:line="278" w:lineRule="exact" w:before="62" w:after="0"/>
        <w:ind w:left="3088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Feature-set ablation demonstrated that the contribution of th</w:t>
      </w:r>
      <w:hyperlink r:id="rId98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 xml:space="preserve">e 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engineered temporal </w:t>
      </w:r>
      <w:r>
        <w:br/>
      </w: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>descriptors varied across observation horizons and classifiers (Table</w:t>
      </w:r>
      <w:r>
        <w:rPr>
          <w:spacing w:val="-10"/>
          <w:w w:val="98.9763069152832"/>
          <w:rFonts w:ascii="URWPalladioL" w:hAnsi="URWPalladioL" w:eastAsia="URWPalladioL"/>
          <w:color w:val="0875B7"/>
          <w:sz w:val="20"/>
        </w:rPr>
        <w:t xml:space="preserve"> </w:t>
      </w:r>
      <w:hyperlink r:id="rId98" w:history="1">
        <w:r>
          <w:rPr>
            <w:rStyle w:val="Hyperlink"/>
            <w:rFonts w:ascii="URWPalladioL" w:hAnsi="URWPalladioL" w:eastAsia="URWPalladioL" w:cs="URWPalladioL"/>
            <w:sz w:val="19.79526138305664"/>
            <w:color w:val="0875B7"/>
            <w:w w:val="98.9763069152832"/>
            <w:spacing w:val="-10"/>
          </w:rPr>
          <w:t>4</w:t>
        </w:r>
      </w:hyperlink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>). At 12 h, the MACD-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only representation produced the highest HistGradientBoosting performance (AUROC =</w:t>
      </w:r>
    </w:p>
    <w:p>
      <w:pPr>
        <w:autoSpaceDN w:val="0"/>
        <w:autoSpaceDE w:val="0"/>
        <w:widowControl/>
        <w:spacing w:line="160" w:lineRule="exact" w:before="762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3255010</wp:posOffset>
            </wp:positionV>
            <wp:extent cx="6645909" cy="203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3445510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3625850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3807460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3989070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4169410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4351020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4532630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4712970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4894580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5076190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5256530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5438140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5615940</wp:posOffset>
            </wp:positionV>
            <wp:extent cx="6645909" cy="203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14 of 19</w:t>
      </w:r>
    </w:p>
    <w:p>
      <w:pPr>
        <w:autoSpaceDN w:val="0"/>
        <w:autoSpaceDE w:val="0"/>
        <w:widowControl/>
        <w:spacing w:line="278" w:lineRule="exact" w:before="536" w:after="0"/>
        <w:ind w:left="3080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0.664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0.176; AUPRC = 0.438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0.198), compared with 0.362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0.151 and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0.232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0.108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,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respectively, for conventional-only features. For Logistic Regression, the combined represen-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tation achieved the highest AUROC (0.655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0.157), whereas SCDM-only features yielded </w:t>
      </w:r>
      <w:r>
        <w:br/>
      </w:r>
      <w:r>
        <w:rPr>
          <w:spacing w:val="-10"/>
          <w:w w:val="98.67501258850098"/>
          <w:rFonts w:ascii="URWPalladioL" w:hAnsi="URWPalladioL" w:eastAsia="URWPalladioL"/>
          <w:color w:val="000000"/>
          <w:sz w:val="20"/>
        </w:rPr>
        <w:t>the highest AUPRC (0.453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w w:val="98.67501258850098"/>
          <w:rFonts w:ascii="URWPalladioL" w:hAnsi="URWPalladioL" w:eastAsia="URWPalladioL"/>
          <w:color w:val="000000"/>
          <w:sz w:val="20"/>
        </w:rPr>
        <w:t xml:space="preserve"> 0.247). At 18 h, differences between conventional-only, MACD-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only, and combined representations were smaller. MACD-only features achieved the highest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HistGradientBoosting AUROC (0.669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0.145) and AUPRC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(0.363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0.166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). For Logistic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Regression, the combined representation produced the highest AUROC (</w:t>
      </w:r>
      <w:r>
        <w:rPr>
          <w:spacing w:val="-10"/>
          <w:rFonts w:ascii="URWPalladioL" w:hAnsi="URWPalladioL" w:eastAsia="URWPalladioL"/>
          <w:color w:val="000000"/>
          <w:sz w:val="20"/>
        </w:rPr>
        <w:t>0.654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0.210),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whereas MACD-only features produced the highest AUPRC (0.404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 0.233). At 24 h, MACD-</w:t>
      </w:r>
      <w:r>
        <w:br/>
      </w:r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>only features again achieved the highest HistGradientBoosting AUROC (</w:t>
      </w:r>
      <w:r>
        <w:rPr>
          <w:spacing w:val="-10"/>
          <w:rFonts w:ascii="URWPalladioL" w:hAnsi="URWPalladioL" w:eastAsia="URWPalladioL"/>
          <w:color w:val="000000"/>
          <w:sz w:val="20"/>
        </w:rPr>
        <w:t>0.695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0.139</w:t>
      </w:r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 xml:space="preserve">) and </w:t>
      </w:r>
      <w:r>
        <w:br/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>AUPRC (0.393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 xml:space="preserve"> 0.193), whereas the combined representation achieved the highest Logistic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Regression AUROC (0.711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0.125) and AUPRC (0.376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0.146).</w:t>
      </w:r>
    </w:p>
    <w:p>
      <w:pPr>
        <w:autoSpaceDN w:val="0"/>
        <w:autoSpaceDE w:val="0"/>
        <w:widowControl/>
        <w:spacing w:line="182" w:lineRule="exact" w:before="288" w:after="218"/>
        <w:ind w:left="0" w:right="0" w:firstLine="0"/>
        <w:jc w:val="center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Table 4.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Feature-set ablation analysis across observation horizons.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460" w:type="dxa"/>
      </w:tblPr>
      <w:tblGrid>
        <w:gridCol w:w="1560" w:type="dxa"/>
        <w:gridCol w:w="1820" w:type="dxa"/>
        <w:gridCol w:w="980" w:type="dxa"/>
        <w:gridCol w:w="1640" w:type="dxa"/>
        <w:gridCol w:w="1520" w:type="dxa"/>
        <w:gridCol w:w="1460" w:type="dxa"/>
        <w:gridCol w:w="1560" w:type="dxa"/>
      </w:tblGrid>
      <w:tr>
        <w:trPr>
          <w:trHeight w:hRule="exact" w:val="234"/>
        </w:trPr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Horizon</w:t>
            </w:r>
          </w:p>
        </w:tc>
        <w:tc>
          <w:tcPr>
            <w:tcW w:type="dxa" w:w="1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Feature Set</w:t>
            </w:r>
          </w:p>
        </w:tc>
        <w:tc>
          <w:tcPr>
            <w:tcW w:type="dxa" w:w="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6" w:lineRule="exact" w:before="96" w:after="0"/>
              <w:ind w:left="0" w:right="344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n</w:t>
            </w:r>
          </w:p>
        </w:tc>
        <w:tc>
          <w:tcPr>
            <w:tcW w:type="dxa" w:w="1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0" w:after="0"/>
              <w:ind w:left="376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HGB AUROC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HGB AUPRC</w:t>
            </w:r>
          </w:p>
        </w:tc>
        <w:tc>
          <w:tcPr>
            <w:tcW w:type="dxa" w:w="1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LR AUROC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LR AUPRC</w:t>
            </w:r>
          </w:p>
        </w:tc>
      </w:tr>
    </w:tbl>
    <w:p>
      <w:pPr>
        <w:autoSpaceDN w:val="0"/>
        <w:autoSpaceDE w:val="0"/>
        <w:widowControl/>
        <w:spacing w:line="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" w:type="dxa"/>
      </w:tblPr>
      <w:tblGrid>
        <w:gridCol w:w="1280" w:type="dxa"/>
        <w:gridCol w:w="2160" w:type="dxa"/>
        <w:gridCol w:w="90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80"/>
        </w:trPr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43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12 h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470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Conventional-only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30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0.362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0.151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0.232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0.108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0.519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0.191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0.311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0.154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40" w:type="dxa"/>
      </w:tblPr>
      <w:tblGrid>
        <w:gridCol w:w="2620" w:type="dxa"/>
        <w:gridCol w:w="100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82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0" w:after="0"/>
              <w:ind w:left="0" w:right="48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MACD-only</w:t>
            </w:r>
          </w:p>
        </w:tc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3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15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0.664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0.176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0.438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0.198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0.564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0.191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0.359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0.186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40" w:type="dxa"/>
      </w:tblPr>
      <w:tblGrid>
        <w:gridCol w:w="2620" w:type="dxa"/>
        <w:gridCol w:w="980" w:type="dxa"/>
        <w:gridCol w:w="1600" w:type="dxa"/>
        <w:gridCol w:w="1500" w:type="dxa"/>
        <w:gridCol w:w="1500" w:type="dxa"/>
        <w:gridCol w:w="1600" w:type="dxa"/>
      </w:tblGrid>
      <w:tr>
        <w:trPr>
          <w:trHeight w:hRule="exact" w:val="28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50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SCDM-only</w:t>
            </w:r>
          </w:p>
        </w:tc>
        <w:tc>
          <w:tcPr>
            <w:tcW w:type="dxa" w:w="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37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5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26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0.497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0.169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0.318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0.189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0.645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0.233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0.453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0.247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80" w:type="dxa"/>
      </w:tblPr>
      <w:tblGrid>
        <w:gridCol w:w="2540" w:type="dxa"/>
        <w:gridCol w:w="104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38"/>
        </w:trPr>
        <w:tc>
          <w:tcPr>
            <w:tcW w:type="dxa" w:w="2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60" w:after="0"/>
              <w:ind w:left="0" w:right="51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Combined</w:t>
            </w:r>
          </w:p>
        </w:tc>
        <w:tc>
          <w:tcPr>
            <w:tcW w:type="dxa" w:w="1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50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0.464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0.163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0.283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0.149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0.655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0.157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0.418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0.176</w:t>
            </w:r>
          </w:p>
        </w:tc>
      </w:tr>
    </w:tbl>
    <w:p>
      <w:pPr>
        <w:autoSpaceDN w:val="0"/>
        <w:autoSpaceDE w:val="0"/>
        <w:widowControl/>
        <w:spacing w:line="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" w:type="dxa"/>
      </w:tblPr>
      <w:tblGrid>
        <w:gridCol w:w="1280" w:type="dxa"/>
        <w:gridCol w:w="2160" w:type="dxa"/>
        <w:gridCol w:w="90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82"/>
        </w:trPr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0" w:lineRule="exact" w:before="60" w:after="0"/>
              <w:ind w:left="0" w:right="43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18 h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0" w:after="0"/>
              <w:ind w:left="470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Conventional-only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30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0.637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0.121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0.331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0.147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0.631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0.137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0.316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0.135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40" w:type="dxa"/>
      </w:tblPr>
      <w:tblGrid>
        <w:gridCol w:w="2620" w:type="dxa"/>
        <w:gridCol w:w="100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8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48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MACD-only</w:t>
            </w:r>
          </w:p>
        </w:tc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15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0.669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0.145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0.363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0.166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0.649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0.218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0.404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0.233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40" w:type="dxa"/>
      </w:tblPr>
      <w:tblGrid>
        <w:gridCol w:w="2620" w:type="dxa"/>
        <w:gridCol w:w="980" w:type="dxa"/>
        <w:gridCol w:w="1600" w:type="dxa"/>
        <w:gridCol w:w="1500" w:type="dxa"/>
        <w:gridCol w:w="1500" w:type="dxa"/>
        <w:gridCol w:w="1600" w:type="dxa"/>
      </w:tblGrid>
      <w:tr>
        <w:trPr>
          <w:trHeight w:hRule="exact" w:val="28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50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SCDM-only</w:t>
            </w:r>
          </w:p>
        </w:tc>
        <w:tc>
          <w:tcPr>
            <w:tcW w:type="dxa" w:w="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7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5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26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0.639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0.106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0.298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0.119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0.510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0.196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0.287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0.189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80" w:type="dxa"/>
      </w:tblPr>
      <w:tblGrid>
        <w:gridCol w:w="2540" w:type="dxa"/>
        <w:gridCol w:w="104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40"/>
        </w:trPr>
        <w:tc>
          <w:tcPr>
            <w:tcW w:type="dxa" w:w="2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0" w:lineRule="exact" w:before="60" w:after="0"/>
              <w:ind w:left="0" w:right="51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Combined</w:t>
            </w:r>
          </w:p>
        </w:tc>
        <w:tc>
          <w:tcPr>
            <w:tcW w:type="dxa" w:w="1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3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50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0.665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0.132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0.327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0.137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0.654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0.210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0.363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0.186</w:t>
            </w:r>
          </w:p>
        </w:tc>
      </w:tr>
    </w:tbl>
    <w:p>
      <w:pPr>
        <w:autoSpaceDN w:val="0"/>
        <w:autoSpaceDE w:val="0"/>
        <w:widowControl/>
        <w:spacing w:line="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" w:type="dxa"/>
      </w:tblPr>
      <w:tblGrid>
        <w:gridCol w:w="1280" w:type="dxa"/>
        <w:gridCol w:w="2160" w:type="dxa"/>
        <w:gridCol w:w="90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80"/>
        </w:trPr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60" w:after="0"/>
              <w:ind w:left="0" w:right="43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24 h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470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Conventional-only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30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0.672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0.139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0.336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0.181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0.628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0.133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0.289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0.121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40" w:type="dxa"/>
      </w:tblPr>
      <w:tblGrid>
        <w:gridCol w:w="2620" w:type="dxa"/>
        <w:gridCol w:w="100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8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48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MACD-only</w:t>
            </w:r>
          </w:p>
        </w:tc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15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0.695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0.139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0.393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0.193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0.590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0.167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0.337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0.206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40" w:type="dxa"/>
      </w:tblPr>
      <w:tblGrid>
        <w:gridCol w:w="2620" w:type="dxa"/>
        <w:gridCol w:w="980" w:type="dxa"/>
        <w:gridCol w:w="1600" w:type="dxa"/>
        <w:gridCol w:w="1500" w:type="dxa"/>
        <w:gridCol w:w="1500" w:type="dxa"/>
        <w:gridCol w:w="1600" w:type="dxa"/>
      </w:tblGrid>
      <w:tr>
        <w:trPr>
          <w:trHeight w:hRule="exact" w:val="282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0" w:after="0"/>
              <w:ind w:left="0" w:right="50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SCDM-only</w:t>
            </w:r>
          </w:p>
        </w:tc>
        <w:tc>
          <w:tcPr>
            <w:tcW w:type="dxa" w:w="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37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5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268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0.571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0.148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0.242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0.126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0.334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0.136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0.167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0.122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80" w:type="dxa"/>
      </w:tblPr>
      <w:tblGrid>
        <w:gridCol w:w="2540" w:type="dxa"/>
        <w:gridCol w:w="1040" w:type="dxa"/>
        <w:gridCol w:w="1580" w:type="dxa"/>
        <w:gridCol w:w="1500" w:type="dxa"/>
        <w:gridCol w:w="1500" w:type="dxa"/>
        <w:gridCol w:w="1600" w:type="dxa"/>
      </w:tblGrid>
      <w:tr>
        <w:trPr>
          <w:trHeight w:hRule="exact" w:val="238"/>
        </w:trPr>
        <w:tc>
          <w:tcPr>
            <w:tcW w:type="dxa" w:w="2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60" w:after="0"/>
              <w:ind w:left="0" w:right="51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Combined</w:t>
            </w:r>
          </w:p>
        </w:tc>
        <w:tc>
          <w:tcPr>
            <w:tcW w:type="dxa" w:w="1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3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50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382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0.682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0.139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0.332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0.181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0.711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0.125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8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0.376</w:t>
            </w:r>
            <w:r>
              <w:rPr>
                <w:spacing w:val="-10"/>
                <w:w w:val="97.70470787497128"/>
                <w:rFonts w:ascii="CMSY10" w:hAnsi="CMSY10" w:eastAsia="CMSY10"/>
                <w:i/>
                <w:color w:val="000000"/>
                <w:sz w:val="17"/>
              </w:rPr>
              <w:t xml:space="preserve"> ±</w:t>
            </w: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 xml:space="preserve"> 0.146</w:t>
            </w:r>
          </w:p>
        </w:tc>
      </w:tr>
    </w:tbl>
    <w:p>
      <w:pPr>
        <w:autoSpaceDN w:val="0"/>
        <w:autoSpaceDE w:val="0"/>
        <w:widowControl/>
        <w:spacing w:line="278" w:lineRule="exact" w:before="360" w:after="0"/>
        <w:ind w:left="3082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Overall, MACD-derived descriptors showed the most consistent incremental contribu-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tion relative to conventional features, particularly for HistGradientBoosting. SCDM-only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performance was more variable across horizons, and combining all descriptors did not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uniformly improve discrimination.</w:t>
      </w:r>
    </w:p>
    <w:p>
      <w:pPr>
        <w:autoSpaceDN w:val="0"/>
        <w:autoSpaceDE w:val="0"/>
        <w:widowControl/>
        <w:spacing w:line="202" w:lineRule="exact" w:before="268" w:after="0"/>
        <w:ind w:left="0" w:right="4096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3.5. Temporal Feature Importance and Interpretation</w:t>
      </w:r>
    </w:p>
    <w:p>
      <w:pPr>
        <w:autoSpaceDN w:val="0"/>
        <w:autoSpaceDE w:val="0"/>
        <w:widowControl/>
        <w:spacing w:line="278" w:lineRule="exact" w:before="62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Permutation feature importance demonstrated substantial variation in the ranking of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individual temporal descriptors across observation horizons. At 12 h, the highest-ranked </w:t>
      </w:r>
      <w:r>
        <w:br/>
      </w:r>
      <w:r>
        <w:rPr>
          <w:spacing w:val="-10"/>
          <w:w w:val="98.9261531829834"/>
          <w:rFonts w:ascii="URWPalladioL" w:hAnsi="URWPalladioL" w:eastAsia="URWPalladioL"/>
          <w:color w:val="000000"/>
          <w:sz w:val="20"/>
        </w:rPr>
        <w:t xml:space="preserve">features were INR(PT)_scdm, Lactate_macd_hist, Lactate_max, Lactate_macd, and Platelet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Count_macd_hist. At 18 h, Lactate_mean showed the highest importance, followed by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Platelet Count_macd_sig, Lactate_max, INR(PT)_macd_sig, and INR(PT)_scdm. At 24 h,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the leading features were Lactate_macd, Lactate_macd_sig, WBC_vol, WBC_max, and</w:t>
      </w:r>
    </w:p>
    <w:p>
      <w:pPr>
        <w:autoSpaceDN w:val="0"/>
        <w:autoSpaceDE w:val="0"/>
        <w:widowControl/>
        <w:spacing w:line="170" w:lineRule="exact" w:before="78" w:after="0"/>
        <w:ind w:left="0" w:right="7084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Lactate_scdm.</w:t>
      </w:r>
    </w:p>
    <w:p>
      <w:pPr>
        <w:autoSpaceDN w:val="0"/>
        <w:autoSpaceDE w:val="0"/>
        <w:widowControl/>
        <w:spacing w:line="278" w:lineRule="exact" w:before="32" w:after="0"/>
        <w:ind w:left="307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Both conventional and engineered temporal descriptors therefore contributed to pre-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diction, but their relative rankings varied with the duration of the available laboratory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trajectory. Lactate-derived descriptors remained prominent, while INR-, platelet-,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WBC-derived temporal features also appeared among the highest-ranked predictors.</w:t>
      </w:r>
    </w:p>
    <w:p>
      <w:pPr>
        <w:autoSpaceDN w:val="0"/>
        <w:autoSpaceDE w:val="0"/>
        <w:widowControl/>
        <w:spacing w:line="278" w:lineRule="exact" w:before="0" w:after="0"/>
        <w:ind w:left="3088" w:right="472" w:firstLine="426"/>
        <w:jc w:val="both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Because lactate was not part of the revised ICD-based outcome definition, the observed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importance of lactate-derived predictors reflects information contained in the laboratory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trajectories rather than direct reuse of lactate in outcome labeling.</w:t>
      </w:r>
    </w:p>
    <w:p>
      <w:pPr>
        <w:autoSpaceDN w:val="0"/>
        <w:autoSpaceDE w:val="0"/>
        <w:widowControl/>
        <w:spacing w:line="278" w:lineRule="exact" w:before="2" w:after="0"/>
        <w:ind w:left="3082" w:right="432" w:firstLine="432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The repeated presence of lactate-derived descriptors across all three configurations was </w:t>
      </w:r>
      <w:r>
        <w:br/>
      </w:r>
      <w:r>
        <w:rPr>
          <w:spacing w:val="-10"/>
          <w:w w:val="98.9261531829834"/>
          <w:rFonts w:ascii="URWPalladioL" w:hAnsi="URWPalladioL" w:eastAsia="URWPalladioL"/>
          <w:color w:val="000000"/>
          <w:sz w:val="20"/>
        </w:rPr>
        <w:t xml:space="preserve">particularly notable. Because lactate was excluded from the ICD-based outcome definition,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these associations reflect predictive information contained in the lactate trajectories rather</w:t>
      </w:r>
    </w:p>
    <w:p>
      <w:pPr>
        <w:autoSpaceDN w:val="0"/>
        <w:autoSpaceDE w:val="0"/>
        <w:widowControl/>
        <w:spacing w:line="160" w:lineRule="exact" w:before="54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1971039</wp:posOffset>
            </wp:positionV>
            <wp:extent cx="6645909" cy="203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2162810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2343150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2524760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2706370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2886710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3068320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3249930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3430270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3611879</wp:posOffset>
            </wp:positionV>
            <wp:extent cx="6645909" cy="7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3792220</wp:posOffset>
            </wp:positionV>
            <wp:extent cx="6645909" cy="761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761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3971290</wp:posOffset>
            </wp:positionV>
            <wp:extent cx="6645909" cy="203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645909" cy="20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15 of 19</w:t>
      </w:r>
    </w:p>
    <w:p>
      <w:pPr>
        <w:autoSpaceDN w:val="0"/>
        <w:autoSpaceDE w:val="0"/>
        <w:widowControl/>
        <w:spacing w:line="280" w:lineRule="exact" w:before="534" w:after="0"/>
        <w:ind w:left="3024" w:right="4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than direct reuse of lactate in outcome assignment. The ten highest-ranked individual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features and their permu</w:t>
      </w:r>
      <w:hyperlink r:id="rId101" w:history="1">
        <w:r>
          <w:rPr>
            <w:rStyle w:val="Hyperlink"/>
            <w:rFonts w:ascii="URWPalladioL" w:hAnsi="URWPalladioL" w:eastAsia="URWPalladioL" w:cs="URWPalladioL"/>
            <w:sz w:val="20.113597869873047"/>
            <w:color w:val="000000"/>
            <w:spacing w:val="-10"/>
          </w:rPr>
          <w:t>t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ation-importance values across the three observation horizons</w:t>
      </w:r>
    </w:p>
    <w:p>
      <w:pPr>
        <w:autoSpaceDN w:val="0"/>
        <w:autoSpaceDE w:val="0"/>
        <w:widowControl/>
        <w:spacing w:line="148" w:lineRule="exact" w:before="78" w:after="0"/>
        <w:ind w:left="0" w:right="596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are summarized in Table</w:t>
      </w:r>
      <w:r>
        <w:rPr>
          <w:spacing w:val="-10"/>
          <w:rFonts w:ascii="URWPalladioL" w:hAnsi="URWPalladioL" w:eastAsia="URWPalladioL"/>
          <w:color w:val="0875B7"/>
          <w:sz w:val="20"/>
        </w:rPr>
        <w:t xml:space="preserve"> </w:t>
      </w:r>
      <w:hyperlink r:id="rId101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5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.</w:t>
      </w:r>
    </w:p>
    <w:p>
      <w:pPr>
        <w:autoSpaceDN w:val="0"/>
        <w:autoSpaceDE w:val="0"/>
        <w:widowControl/>
        <w:spacing w:line="180" w:lineRule="exact" w:before="292" w:after="0"/>
        <w:ind w:left="0" w:right="480" w:firstLine="0"/>
        <w:jc w:val="right"/>
      </w:pPr>
      <w:r>
        <w:rPr>
          <w:spacing w:val="-10"/>
          <w:w w:val="98.725954691569"/>
          <w:rFonts w:ascii="URWPalladioL" w:hAnsi="URWPalladioL" w:eastAsia="URWPalladioL"/>
          <w:b/>
          <w:color w:val="000000"/>
          <w:sz w:val="18"/>
        </w:rPr>
        <w:t>Table 5.</w:t>
      </w:r>
      <w:r>
        <w:rPr>
          <w:spacing w:val="-10"/>
          <w:w w:val="98.725954691569"/>
          <w:rFonts w:ascii="URWPalladioL" w:hAnsi="URWPalladioL" w:eastAsia="URWPalladioL"/>
          <w:color w:val="000000"/>
          <w:sz w:val="18"/>
        </w:rPr>
        <w:t xml:space="preserve"> Top-ranked engineered temporal features according to mean permutation importance across</w:t>
      </w:r>
    </w:p>
    <w:p>
      <w:pPr>
        <w:autoSpaceDN w:val="0"/>
        <w:autoSpaceDE w:val="0"/>
        <w:widowControl/>
        <w:spacing w:line="158" w:lineRule="exact" w:before="76" w:after="238"/>
        <w:ind w:left="0" w:right="477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18"/>
        </w:rPr>
        <w:t>the 12 h, 18 h, and 24 h observation horizons.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360" w:type="dxa"/>
      </w:tblPr>
      <w:tblGrid>
        <w:gridCol w:w="1180" w:type="dxa"/>
        <w:gridCol w:w="1720" w:type="dxa"/>
        <w:gridCol w:w="1600" w:type="dxa"/>
        <w:gridCol w:w="1660" w:type="dxa"/>
        <w:gridCol w:w="1560" w:type="dxa"/>
        <w:gridCol w:w="1520" w:type="dxa"/>
        <w:gridCol w:w="1480" w:type="dxa"/>
      </w:tblGrid>
      <w:tr>
        <w:trPr>
          <w:trHeight w:hRule="exact" w:val="276"/>
        </w:trPr>
        <w:tc>
          <w:tcPr>
            <w:tcW w:type="dxa" w:w="1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Rank</w:t>
            </w:r>
          </w:p>
        </w:tc>
        <w:tc>
          <w:tcPr>
            <w:tcW w:type="dxa" w:w="1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12 h Feature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Importance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18 h Feature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6" w:after="0"/>
              <w:ind w:left="0" w:right="318" w:firstLine="0"/>
              <w:jc w:val="right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Importance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24 h Feature</w:t>
            </w:r>
          </w:p>
        </w:tc>
        <w:tc>
          <w:tcPr>
            <w:tcW w:type="dxa" w:w="1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b/>
                <w:color w:val="000000"/>
                <w:sz w:val="16"/>
              </w:rPr>
              <w:t>Importance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980" w:type="dxa"/>
        <w:gridCol w:w="1980" w:type="dxa"/>
        <w:gridCol w:w="1340" w:type="dxa"/>
        <w:gridCol w:w="1920" w:type="dxa"/>
        <w:gridCol w:w="1300" w:type="dxa"/>
        <w:gridCol w:w="1760" w:type="dxa"/>
        <w:gridCol w:w="1260" w:type="dxa"/>
      </w:tblGrid>
      <w:tr>
        <w:trPr>
          <w:trHeight w:hRule="exact" w:val="270"/>
        </w:trPr>
        <w:tc>
          <w:tcPr>
            <w:tcW w:type="dxa" w:w="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</w:t>
            </w:r>
          </w:p>
        </w:tc>
        <w:tc>
          <w:tcPr>
            <w:tcW w:type="dxa" w:w="1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INR(PT)_scdm</w:t>
            </w:r>
          </w:p>
        </w:tc>
        <w:tc>
          <w:tcPr>
            <w:tcW w:type="dxa" w:w="1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0.0530</w:t>
            </w:r>
          </w:p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Lactate_mean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0.0360</w:t>
            </w:r>
          </w:p>
        </w:tc>
        <w:tc>
          <w:tcPr>
            <w:tcW w:type="dxa" w:w="1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Lactate_macd</w:t>
            </w:r>
          </w:p>
        </w:tc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0.0438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920" w:type="dxa"/>
        <w:gridCol w:w="2100" w:type="dxa"/>
        <w:gridCol w:w="1080" w:type="dxa"/>
        <w:gridCol w:w="2300" w:type="dxa"/>
        <w:gridCol w:w="1040" w:type="dxa"/>
        <w:gridCol w:w="1900" w:type="dxa"/>
        <w:gridCol w:w="1200" w:type="dxa"/>
      </w:tblGrid>
      <w:tr>
        <w:trPr>
          <w:trHeight w:hRule="exact" w:val="280"/>
        </w:trPr>
        <w:tc>
          <w:tcPr>
            <w:tcW w:type="dxa" w:w="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2</w:t>
            </w:r>
          </w:p>
        </w:tc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Lactate_macd_hist</w:t>
            </w:r>
          </w:p>
        </w:tc>
        <w:tc>
          <w:tcPr>
            <w:tcW w:type="dxa" w:w="1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25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0.0465</w:t>
            </w:r>
          </w:p>
        </w:tc>
        <w:tc>
          <w:tcPr>
            <w:tcW w:type="dxa" w:w="2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Platelet Count_macd_sig</w:t>
            </w:r>
          </w:p>
        </w:tc>
        <w:tc>
          <w:tcPr>
            <w:tcW w:type="dxa" w:w="1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0.0311</w:t>
            </w:r>
          </w:p>
        </w:tc>
        <w:tc>
          <w:tcPr>
            <w:tcW w:type="dxa" w:w="1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Lactate_macd_sig</w:t>
            </w:r>
          </w:p>
        </w:tc>
        <w:tc>
          <w:tcPr>
            <w:tcW w:type="dxa" w:w="1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42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0.0323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1020" w:type="dxa"/>
        <w:gridCol w:w="1900" w:type="dxa"/>
        <w:gridCol w:w="1400" w:type="dxa"/>
        <w:gridCol w:w="1860" w:type="dxa"/>
        <w:gridCol w:w="1400" w:type="dxa"/>
        <w:gridCol w:w="1620" w:type="dxa"/>
        <w:gridCol w:w="1340" w:type="dxa"/>
      </w:tblGrid>
      <w:tr>
        <w:trPr>
          <w:trHeight w:hRule="exact" w:val="254"/>
        </w:trPr>
        <w:tc>
          <w:tcPr>
            <w:tcW w:type="dxa" w:w="1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3</w:t>
            </w:r>
          </w:p>
        </w:tc>
        <w:tc>
          <w:tcPr>
            <w:tcW w:type="dxa" w:w="1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Lactate_max</w:t>
            </w:r>
          </w:p>
        </w:tc>
        <w:tc>
          <w:tcPr>
            <w:tcW w:type="dxa" w:w="1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0.0412</w:t>
            </w:r>
          </w:p>
        </w:tc>
        <w:tc>
          <w:tcPr>
            <w:tcW w:type="dxa" w:w="1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Lactate_max</w:t>
            </w:r>
          </w:p>
        </w:tc>
        <w:tc>
          <w:tcPr>
            <w:tcW w:type="dxa" w:w="1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0.0283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WBC_vol</w:t>
            </w:r>
          </w:p>
        </w:tc>
        <w:tc>
          <w:tcPr>
            <w:tcW w:type="dxa" w:w="1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0.0264</w:t>
            </w:r>
          </w:p>
        </w:tc>
      </w:tr>
    </w:tbl>
    <w:p>
      <w:pPr>
        <w:autoSpaceDN w:val="0"/>
        <w:autoSpaceDE w:val="0"/>
        <w:widowControl/>
        <w:spacing w:line="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1000" w:type="dxa"/>
        <w:gridCol w:w="1940" w:type="dxa"/>
        <w:gridCol w:w="1280" w:type="dxa"/>
        <w:gridCol w:w="2080" w:type="dxa"/>
        <w:gridCol w:w="1260" w:type="dxa"/>
        <w:gridCol w:w="1660" w:type="dxa"/>
        <w:gridCol w:w="1320" w:type="dxa"/>
      </w:tblGrid>
      <w:tr>
        <w:trPr>
          <w:trHeight w:hRule="exact" w:val="282"/>
        </w:trPr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4</w:t>
            </w:r>
          </w:p>
        </w:tc>
        <w:tc>
          <w:tcPr>
            <w:tcW w:type="dxa" w:w="1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Lactate_macd</w:t>
            </w:r>
          </w:p>
        </w:tc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37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0.0333</w:t>
            </w:r>
          </w:p>
        </w:tc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INR(PT)_macd_sig</w:t>
            </w:r>
          </w:p>
        </w:tc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0.0220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2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WBC_max</w:t>
            </w:r>
          </w:p>
        </w:tc>
        <w:tc>
          <w:tcPr>
            <w:tcW w:type="dxa" w:w="1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0.0257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800" w:type="dxa"/>
        <w:gridCol w:w="2340" w:type="dxa"/>
        <w:gridCol w:w="1140" w:type="dxa"/>
        <w:gridCol w:w="1940" w:type="dxa"/>
        <w:gridCol w:w="1300" w:type="dxa"/>
        <w:gridCol w:w="1760" w:type="dxa"/>
        <w:gridCol w:w="1260" w:type="dxa"/>
      </w:tblGrid>
      <w:tr>
        <w:trPr>
          <w:trHeight w:hRule="exact" w:val="270"/>
        </w:trPr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26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5</w:t>
            </w:r>
          </w:p>
        </w:tc>
        <w:tc>
          <w:tcPr>
            <w:tcW w:type="dxa" w:w="2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Platelet Count_macd_hist</w:t>
            </w:r>
          </w:p>
        </w:tc>
        <w:tc>
          <w:tcPr>
            <w:tcW w:type="dxa" w:w="1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26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0.0326</w:t>
            </w:r>
          </w:p>
        </w:tc>
        <w:tc>
          <w:tcPr>
            <w:tcW w:type="dxa" w:w="1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INR(PT)_scdm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0.0201</w:t>
            </w:r>
          </w:p>
        </w:tc>
        <w:tc>
          <w:tcPr>
            <w:tcW w:type="dxa" w:w="1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Lactate_scdm</w:t>
            </w:r>
          </w:p>
        </w:tc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0.0257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1080" w:type="dxa"/>
        <w:gridCol w:w="1780" w:type="dxa"/>
        <w:gridCol w:w="1360" w:type="dxa"/>
        <w:gridCol w:w="2080" w:type="dxa"/>
        <w:gridCol w:w="1280" w:type="dxa"/>
        <w:gridCol w:w="1620" w:type="dxa"/>
        <w:gridCol w:w="1340" w:type="dxa"/>
      </w:tblGrid>
      <w:tr>
        <w:trPr>
          <w:trHeight w:hRule="exact" w:val="254"/>
        </w:trPr>
        <w:tc>
          <w:tcPr>
            <w:tcW w:type="dxa" w:w="1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54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6</w:t>
            </w:r>
          </w:p>
        </w:tc>
        <w:tc>
          <w:tcPr>
            <w:tcW w:type="dxa" w:w="1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WBC_std</w:t>
            </w:r>
          </w:p>
        </w:tc>
        <w:tc>
          <w:tcPr>
            <w:tcW w:type="dxa" w:w="1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37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0.0319</w:t>
            </w:r>
          </w:p>
        </w:tc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Lactate_macd_hist</w:t>
            </w:r>
          </w:p>
        </w:tc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0.0198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WBC_std</w:t>
            </w:r>
          </w:p>
        </w:tc>
        <w:tc>
          <w:tcPr>
            <w:tcW w:type="dxa" w:w="1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0.0225</w:t>
            </w:r>
          </w:p>
        </w:tc>
      </w:tr>
    </w:tbl>
    <w:p>
      <w:pPr>
        <w:autoSpaceDN w:val="0"/>
        <w:autoSpaceDE w:val="0"/>
        <w:widowControl/>
        <w:spacing w:line="2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1080" w:type="dxa"/>
        <w:gridCol w:w="1780" w:type="dxa"/>
        <w:gridCol w:w="1320" w:type="dxa"/>
        <w:gridCol w:w="2160" w:type="dxa"/>
        <w:gridCol w:w="1160" w:type="dxa"/>
        <w:gridCol w:w="1800" w:type="dxa"/>
        <w:gridCol w:w="1240" w:type="dxa"/>
      </w:tblGrid>
      <w:tr>
        <w:trPr>
          <w:trHeight w:hRule="exact" w:val="282"/>
        </w:trPr>
        <w:tc>
          <w:tcPr>
            <w:tcW w:type="dxa" w:w="1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6" w:after="0"/>
              <w:ind w:left="0" w:right="546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7</w:t>
            </w:r>
          </w:p>
        </w:tc>
        <w:tc>
          <w:tcPr>
            <w:tcW w:type="dxa" w:w="1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WBC_vol</w:t>
            </w:r>
          </w:p>
        </w:tc>
        <w:tc>
          <w:tcPr>
            <w:tcW w:type="dxa" w:w="1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332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0.0305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Platelet Count_macd</w:t>
            </w:r>
          </w:p>
        </w:tc>
        <w:tc>
          <w:tcPr>
            <w:tcW w:type="dxa" w:w="1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0.0191</w:t>
            </w:r>
          </w:p>
        </w:tc>
        <w:tc>
          <w:tcPr>
            <w:tcW w:type="dxa" w:w="1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INR(PT)_slope</w:t>
            </w:r>
          </w:p>
        </w:tc>
        <w:tc>
          <w:tcPr>
            <w:tcW w:type="dxa" w:w="1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0.0179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940" w:type="dxa"/>
        <w:gridCol w:w="2060" w:type="dxa"/>
        <w:gridCol w:w="1300" w:type="dxa"/>
        <w:gridCol w:w="1920" w:type="dxa"/>
        <w:gridCol w:w="1320" w:type="dxa"/>
        <w:gridCol w:w="1700" w:type="dxa"/>
        <w:gridCol w:w="1300" w:type="dxa"/>
      </w:tblGrid>
      <w:tr>
        <w:trPr>
          <w:trHeight w:hRule="exact" w:val="280"/>
        </w:trPr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8</w:t>
            </w:r>
          </w:p>
        </w:tc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Lactate_macd_sig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0.0210</w:t>
            </w:r>
          </w:p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Lactate_macd</w:t>
            </w:r>
          </w:p>
        </w:tc>
        <w:tc>
          <w:tcPr>
            <w:tcW w:type="dxa" w:w="1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0.0167</w:t>
            </w:r>
          </w:p>
        </w:tc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4" w:lineRule="exact" w:before="62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WBC_mean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0.0161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1000" w:type="dxa"/>
        <w:gridCol w:w="1940" w:type="dxa"/>
        <w:gridCol w:w="1400" w:type="dxa"/>
        <w:gridCol w:w="1840" w:type="dxa"/>
        <w:gridCol w:w="1200" w:type="dxa"/>
        <w:gridCol w:w="2020" w:type="dxa"/>
        <w:gridCol w:w="1140" w:type="dxa"/>
      </w:tblGrid>
      <w:tr>
        <w:trPr>
          <w:trHeight w:hRule="exact" w:val="280"/>
        </w:trPr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9</w:t>
            </w:r>
          </w:p>
        </w:tc>
        <w:tc>
          <w:tcPr>
            <w:tcW w:type="dxa" w:w="1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Lactate_mean</w:t>
            </w:r>
          </w:p>
        </w:tc>
        <w:tc>
          <w:tcPr>
            <w:tcW w:type="dxa" w:w="1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0.0186</w:t>
            </w:r>
          </w:p>
        </w:tc>
        <w:tc>
          <w:tcPr>
            <w:tcW w:type="dxa" w:w="1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Lactate_min</w:t>
            </w:r>
          </w:p>
        </w:tc>
        <w:tc>
          <w:tcPr>
            <w:tcW w:type="dxa" w:w="1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0" w:right="25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0.0151</w:t>
            </w:r>
          </w:p>
        </w:tc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Platelet Count_slope</w:t>
            </w:r>
          </w:p>
        </w:tc>
        <w:tc>
          <w:tcPr>
            <w:tcW w:type="dxa" w:w="1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4" w:after="0"/>
              <w:ind w:left="27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0.0155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20" w:type="dxa"/>
      </w:tblPr>
      <w:tblGrid>
        <w:gridCol w:w="960" w:type="dxa"/>
        <w:gridCol w:w="2080" w:type="dxa"/>
        <w:gridCol w:w="1260" w:type="dxa"/>
        <w:gridCol w:w="1960" w:type="dxa"/>
        <w:gridCol w:w="1140" w:type="dxa"/>
        <w:gridCol w:w="2020" w:type="dxa"/>
        <w:gridCol w:w="1140" w:type="dxa"/>
      </w:tblGrid>
      <w:tr>
        <w:trPr>
          <w:trHeight w:hRule="exact" w:val="270"/>
        </w:trPr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10</w:t>
            </w:r>
          </w:p>
        </w:tc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Platelet Count_vol</w:t>
            </w:r>
          </w:p>
        </w:tc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0.0103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INR(PT)_macd</w:t>
            </w:r>
          </w:p>
        </w:tc>
        <w:tc>
          <w:tcPr>
            <w:tcW w:type="dxa" w:w="1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0" w:right="254" w:firstLine="0"/>
              <w:jc w:val="righ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0.0147</w:t>
            </w:r>
          </w:p>
        </w:tc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Platelet Count_scdm</w:t>
            </w:r>
          </w:p>
        </w:tc>
        <w:tc>
          <w:tcPr>
            <w:tcW w:type="dxa" w:w="1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66" w:after="0"/>
              <w:ind w:left="278" w:right="0" w:firstLine="0"/>
              <w:jc w:val="left"/>
            </w:pPr>
            <w:r>
              <w:rPr>
                <w:spacing w:val="-10"/>
                <w:rFonts w:ascii="URWPalladioL" w:hAnsi="URWPalladioL" w:eastAsia="URWPalladioL"/>
                <w:color w:val="000000"/>
                <w:sz w:val="16"/>
              </w:rPr>
              <w:t>0.0126</w:t>
            </w:r>
          </w:p>
        </w:tc>
      </w:tr>
    </w:tbl>
    <w:p>
      <w:pPr>
        <w:autoSpaceDN w:val="0"/>
        <w:autoSpaceDE w:val="0"/>
        <w:widowControl/>
        <w:spacing w:line="202" w:lineRule="exact" w:before="362" w:after="0"/>
        <w:ind w:left="0" w:right="375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Physiological Distribution of Predictive Information</w:t>
      </w:r>
    </w:p>
    <w:p>
      <w:pPr>
        <w:autoSpaceDN w:val="0"/>
        <w:tabs>
          <w:tab w:pos="3514" w:val="left"/>
        </w:tabs>
        <w:autoSpaceDE w:val="0"/>
        <w:widowControl/>
        <w:spacing w:line="280" w:lineRule="exact" w:before="58" w:after="0"/>
        <w:ind w:left="3088" w:right="432" w:firstLine="0"/>
        <w:jc w:val="left"/>
      </w:pPr>
      <w:r>
        <w:tab/>
      </w:r>
      <w:r>
        <w:rPr>
          <w:spacing w:val="-10"/>
          <w:rFonts w:ascii="URWPalladioL" w:hAnsi="URWPalladioL" w:eastAsia="URWPalladioL"/>
          <w:color w:val="000000"/>
          <w:sz w:val="20"/>
        </w:rPr>
        <w:t>Permutation importance was additionally aggregated according to physiological do-</w:t>
      </w:r>
      <w:r>
        <w:br/>
      </w:r>
      <w:r>
        <w:rPr>
          <w:spacing w:val="-10"/>
          <w:w w:val="98.82577896118164"/>
          <w:rFonts w:ascii="URWPalladioL" w:hAnsi="URWPalladioL" w:eastAsia="URWPalladioL"/>
          <w:color w:val="000000"/>
          <w:sz w:val="20"/>
        </w:rPr>
        <w:t>main. Perfusion/metabolic features showed the highest cumulative importance at all three</w:t>
      </w:r>
    </w:p>
    <w:p>
      <w:pPr>
        <w:autoSpaceDN w:val="0"/>
        <w:autoSpaceDE w:val="0"/>
        <w:widowControl/>
        <w:spacing w:line="176" w:lineRule="exact" w:before="76" w:after="0"/>
        <w:ind w:left="0" w:right="456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observation horizons, with mean values of 0.1520, 0.1476, and 0.1255 at 12, 18, and 24 h,</w:t>
      </w:r>
    </w:p>
    <w:p>
      <w:pPr>
        <w:autoSpaceDN w:val="0"/>
        <w:autoSpaceDE w:val="0"/>
        <w:widowControl/>
        <w:spacing w:line="278" w:lineRule="exact" w:before="26" w:after="0"/>
        <w:ind w:left="3080" w:right="432" w:firstLine="8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respectively. Coagulation/hematological features contributed 0.0711, 0.1034, and 0.0595,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while inflammatory features contributed 0.0499,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−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0.0379, and 0.0714 and renal features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0.0163,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−</w:t>
      </w:r>
      <w:r>
        <w:rPr>
          <w:spacing w:val="-10"/>
          <w:rFonts w:ascii="URWPalladioL" w:hAnsi="URWPalladioL" w:eastAsia="URWPalladioL"/>
          <w:color w:val="000000"/>
          <w:sz w:val="20"/>
        </w:rPr>
        <w:t>0.0068, and 0.0114, respectively.</w:t>
      </w:r>
    </w:p>
    <w:p>
      <w:pPr>
        <w:autoSpaceDN w:val="0"/>
        <w:autoSpaceDE w:val="0"/>
        <w:widowControl/>
        <w:spacing w:line="278" w:lineRule="exact" w:before="0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Negative permutation-importance values indicate that permuting the correspond-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ing feature group slightly improved model performance on average and should not be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interpreted as protective physiological effects. Overall, perfusion/metabolic descriptors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contributed most consistently across the three observation horizons, although the magni-</w:t>
      </w:r>
    </w:p>
    <w:p>
      <w:pPr>
        <w:autoSpaceDN w:val="0"/>
        <w:autoSpaceDE w:val="0"/>
        <w:widowControl/>
        <w:spacing w:line="150" w:lineRule="exact" w:before="76" w:after="0"/>
        <w:ind w:left="0" w:right="345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tude of contributions varied with observation duration.</w:t>
      </w:r>
    </w:p>
    <w:p>
      <w:pPr>
        <w:autoSpaceDN w:val="0"/>
        <w:autoSpaceDE w:val="0"/>
        <w:widowControl/>
        <w:spacing w:line="202" w:lineRule="exact" w:before="320" w:after="0"/>
        <w:ind w:left="0" w:right="2374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3.6. Interpretation of Horizon-Dependent Temporal Feature Contributions</w:t>
      </w:r>
    </w:p>
    <w:p>
      <w:pPr>
        <w:autoSpaceDN w:val="0"/>
        <w:autoSpaceDE w:val="0"/>
        <w:widowControl/>
        <w:spacing w:line="278" w:lineRule="exact" w:before="62" w:after="0"/>
        <w:ind w:left="3080" w:right="432" w:firstLine="434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The final permutation-importance analysis indicated that predictive relevance changed </w:t>
      </w:r>
      <w:r>
        <w:br/>
      </w:r>
      <w:r>
        <w:rPr>
          <w:spacing w:val="-10"/>
          <w:w w:val="98.82577896118164"/>
          <w:rFonts w:ascii="URWPalladioL" w:hAnsi="URWPalladioL" w:eastAsia="URWPalladioL"/>
          <w:color w:val="000000"/>
          <w:sz w:val="20"/>
        </w:rPr>
        <w:t xml:space="preserve">with the amount of longitudinal laboratory information available. At 12 h, INR persistence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and lactate momentum descriptors were prominent; at 18 h, lactate level and platelet/INR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momentum descriptors ranked highly; and at 24 h, lactate momentum and WBC vari-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ability/level descriptors were among the leading features. These results indicate horizon-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dependent feature relevance rather than a fixed hierarchy of temporal descriptors.</w:t>
      </w:r>
    </w:p>
    <w:p>
      <w:pPr>
        <w:autoSpaceDN w:val="0"/>
        <w:autoSpaceDE w:val="0"/>
        <w:widowControl/>
        <w:spacing w:line="278" w:lineRule="exact" w:before="0" w:after="0"/>
        <w:ind w:left="3082" w:right="480" w:firstLine="426"/>
        <w:jc w:val="both"/>
      </w:pPr>
      <w:r>
        <w:rPr>
          <w:spacing w:val="-10"/>
          <w:w w:val="98.77554893493652"/>
          <w:rFonts w:ascii="URWPalladioL" w:hAnsi="URWPalladioL" w:eastAsia="URWPalladioL"/>
          <w:color w:val="000000"/>
          <w:sz w:val="20"/>
        </w:rPr>
        <w:t xml:space="preserve">At the physiological-domain level, perfusion/metabolic descriptors demonstrated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greatest cumulative permutation importance across all three observation horizons, while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coagulation/hematological, inflammatory, and renal contributions were smaller and more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variable. These analyses characterize model dependence and should not be interpreted as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evidence of causal physiological relationships.</w:t>
      </w:r>
    </w:p>
    <w:p>
      <w:pPr>
        <w:autoSpaceDN w:val="0"/>
        <w:autoSpaceDE w:val="0"/>
        <w:widowControl/>
        <w:spacing w:line="172" w:lineRule="exact" w:before="292" w:after="0"/>
        <w:ind w:left="0" w:right="6876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24"/>
        </w:rPr>
        <w:t>4. Discussion</w:t>
      </w:r>
    </w:p>
    <w:p>
      <w:pPr>
        <w:autoSpaceDN w:val="0"/>
        <w:autoSpaceDE w:val="0"/>
        <w:widowControl/>
        <w:spacing w:line="202" w:lineRule="exact" w:before="176" w:after="0"/>
        <w:ind w:left="0" w:right="6532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4.1. Primary Findings</w:t>
      </w:r>
    </w:p>
    <w:p>
      <w:pPr>
        <w:autoSpaceDN w:val="0"/>
        <w:autoSpaceDE w:val="0"/>
        <w:widowControl/>
        <w:spacing w:line="278" w:lineRule="exact" w:before="60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This study presents an interpretable temporal feature-engineering framework for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admission-level sepsis risk classification from longitudinal laboratory trajectories.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framework integrates conventional statistical descriptors with MACD-derived momen-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tum features and a lag-1 SCDM persistence measure and evaluates them across progres-</w:t>
      </w:r>
    </w:p>
    <w:p>
      <w:pPr>
        <w:autoSpaceDN w:val="0"/>
        <w:autoSpaceDE w:val="0"/>
        <w:widowControl/>
        <w:spacing w:line="160" w:lineRule="exact" w:before="54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16 of 19</w:t>
      </w:r>
    </w:p>
    <w:p>
      <w:pPr>
        <w:autoSpaceDN w:val="0"/>
        <w:autoSpaceDE w:val="0"/>
        <w:widowControl/>
        <w:spacing w:line="280" w:lineRule="exact" w:before="534" w:after="0"/>
        <w:ind w:left="3088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sively longer 12 h, 18 h, and 24 h laboratory observation horizons using repeated patient-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grouped validation.</w:t>
      </w:r>
    </w:p>
    <w:p>
      <w:pPr>
        <w:autoSpaceDN w:val="0"/>
        <w:autoSpaceDE w:val="0"/>
        <w:widowControl/>
        <w:spacing w:line="278" w:lineRule="exact" w:before="0" w:after="0"/>
        <w:ind w:left="3088" w:right="472" w:firstLine="426"/>
        <w:jc w:val="both"/>
      </w:pP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 xml:space="preserve">Predictive discrimination was moderate and horizon dependent. Using the combined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feature representation, Logistic Regression achieved the highest overall mean AUROC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at 24 h (0.711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0.125), while HistGradientBoosting achieved 0.682</w:t>
      </w:r>
      <w:r>
        <w:rPr>
          <w:spacing w:val="-10"/>
          <w:w w:val="98.86761619931175"/>
          <w:rFonts w:ascii="CMSY10" w:hAnsi="CMSY10" w:eastAsia="CMSY10"/>
          <w:i/>
          <w:color w:val="000000"/>
          <w:sz w:val="21"/>
        </w:rPr>
        <w:t xml:space="preserve"> ±</w:t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 0.139 at the same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horizon. The ablation analysis further showed that MACD-only features provided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most consistent incremental contribution relative to conventional features, particularly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for HistGradientBoosting, whereas SCDM-only performance was more variable and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combined representation did not uniformly outperform all component feature sets. These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findings support interpretation of the framework as a methodological proof of concept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rather than a clinically deployable prediction model.</w:t>
      </w:r>
    </w:p>
    <w:p>
      <w:pPr>
        <w:autoSpaceDN w:val="0"/>
        <w:autoSpaceDE w:val="0"/>
        <w:widowControl/>
        <w:spacing w:line="278" w:lineRule="exact" w:before="2" w:after="0"/>
        <w:ind w:left="3078" w:right="480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Permutation-importance analyses further demonstrated horizon-dependent feature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relevance. Lactate-derived descriptors remained prominent, while INR-, platelet-, and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WBC-derived temporal features also appeared among the highest-ranked predictors. At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physiological-domain level, perfusion/metabolic features showed the greatest cumulative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importance across all three observation horizons. These findings indicate that the predictive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information captured by the temporal representation changes as additional longitudinal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laboratory information becomes available.</w:t>
      </w:r>
    </w:p>
    <w:p>
      <w:pPr>
        <w:autoSpaceDN w:val="0"/>
        <w:autoSpaceDE w:val="0"/>
        <w:widowControl/>
        <w:spacing w:line="200" w:lineRule="exact" w:before="270" w:after="0"/>
        <w:ind w:left="0" w:right="3742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4.2. Horizon-Dependent Temporal Feature Contributions</w:t>
      </w:r>
    </w:p>
    <w:p>
      <w:pPr>
        <w:autoSpaceDN w:val="0"/>
        <w:autoSpaceDE w:val="0"/>
        <w:widowControl/>
        <w:spacing w:line="278" w:lineRule="exact" w:before="62" w:after="0"/>
        <w:ind w:left="3080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The changing importance of engineered descriptors across observation horizons sug-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gests that different aspects of laboratory trajectories become informative as additional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measurements accumulate. At 12 h, INR persistence and lactate momentum descriptors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were prominent, whereas the 18 h analysis emphasized lactate level and platelet/INR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momentum features. At 24 h, lactate momentum and WBC level/variability descriptors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became more prominent.</w:t>
      </w:r>
    </w:p>
    <w:p>
      <w:pPr>
        <w:autoSpaceDN w:val="0"/>
        <w:autoSpaceDE w:val="0"/>
        <w:widowControl/>
        <w:spacing w:line="278" w:lineRule="exact" w:before="2" w:after="0"/>
        <w:ind w:left="3088" w:right="432" w:firstLine="426"/>
        <w:jc w:val="left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Lactate-derived features remained influential across the three horizons, while platelet-,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INR-, WBC-, and creatinine-derived descriptors contributed to varying degrees. These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findings are broadly compatible with the known involvement o</w:t>
      </w:r>
      <w:hyperlink r:id="rId67" w:history="1">
        <w:r>
          <w:rPr>
            <w:rStyle w:val="Hyperlink"/>
            <w:rFonts w:ascii="URWPalladioL" w:hAnsi="URWPalladioL" w:eastAsia="URWPalladioL" w:cs="URWPalladioL"/>
            <w:sz w:val="19.72494125366211"/>
            <w:color w:val="000000"/>
            <w:w w:val="98.62470626831055"/>
            <w:spacing w:val="-10"/>
          </w:rPr>
          <w:t xml:space="preserve">f </w:t>
        </w:r>
      </w:hyperlink>
      <w:hyperlink r:id="rId71" w:history="1">
        <w:r>
          <w:rPr>
            <w:rStyle w:val="Hyperlink"/>
            <w:rFonts w:ascii="URWPalladioL" w:hAnsi="URWPalladioL" w:eastAsia="URWPalladioL" w:cs="URWPalladioL"/>
            <w:sz w:val="19.72494125366211"/>
            <w:color w:val="000000"/>
            <w:w w:val="98.62470626831055"/>
            <w:spacing w:val="-10"/>
          </w:rPr>
          <w:t>al</w:t>
        </w:r>
      </w:hyperlink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tered perfusion, coagula-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tion, inflammatory response, and renal dysfunction in sepsis [</w:t>
      </w:r>
      <w:hyperlink r:id="rId67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4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71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7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]; however, permuta</w:t>
      </w:r>
      <w:hyperlink r:id="rId67" w:history="1">
        <w:r>
          <w:rPr>
            <w:rStyle w:val="Hyperlink"/>
            <w:rFonts w:ascii="URWPalladioL" w:hAnsi="URWPalladioL" w:eastAsia="URWPalladioL" w:cs="URWPalladioL"/>
            <w:sz w:val="19.984886169433594"/>
            <w:color w:val="000000"/>
            <w:spacing w:val="-10"/>
          </w:rPr>
          <w:t>ti</w:t>
        </w:r>
      </w:hyperlink>
      <w:hyperlink r:id="rId71" w:history="1">
        <w:r>
          <w:rPr>
            <w:rStyle w:val="Hyperlink"/>
            <w:rFonts w:ascii="URWPalladioL" w:hAnsi="URWPalladioL" w:eastAsia="URWPalladioL" w:cs="URWPalladioL"/>
            <w:sz w:val="19.984886169433594"/>
            <w:color w:val="000000"/>
            <w:spacing w:val="-10"/>
          </w:rPr>
          <w:t>o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importance reflects model dependence rather than causal physiological relationships [</w:t>
      </w:r>
      <w:hyperlink r:id="rId67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4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71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7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].</w:t>
      </w:r>
    </w:p>
    <w:p>
      <w:pPr>
        <w:autoSpaceDN w:val="0"/>
        <w:autoSpaceDE w:val="0"/>
        <w:widowControl/>
        <w:spacing w:line="202" w:lineRule="exact" w:before="268" w:after="0"/>
        <w:ind w:left="0" w:right="5630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4.3. Comparison with Prior Work</w:t>
      </w:r>
    </w:p>
    <w:p>
      <w:pPr>
        <w:autoSpaceDN w:val="0"/>
        <w:autoSpaceDE w:val="0"/>
        <w:widowControl/>
        <w:spacing w:line="278" w:lineRule="exact" w:before="62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Previous sepsis prediction studies have increasingly used recurrent neural networks,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attent</w:t>
      </w:r>
      <w:hyperlink r:id="rId102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>i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o</w:t>
      </w:r>
      <w:hyperlink r:id="rId103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 xml:space="preserve">n 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mechanisms, and other deep learning approaches to model longitudinal EHR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data [</w:t>
      </w:r>
      <w:hyperlink r:id="rId102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8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103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11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]. Such methods can achieve strong discrimination in large clinical datasets but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often rely on complex latent representations that are difficult to interpret clinically. In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contrast, the MACD–SCDM framework represents laboratory trajectories using explicit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descriptors of level, trend, momentum, variability, and short-term temporal persistence,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allowing the information contributing to prediction to be examined directly.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moderate and horizon-dependent discrimination observed in the present study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should not be interpreted as competitive with state-of-the-art sepsis prediction systems. </w:t>
      </w:r>
      <w:r>
        <w:br/>
      </w:r>
      <w:r>
        <w:rPr>
          <w:spacing w:val="-10"/>
          <w:w w:val="98.9763069152832"/>
          <w:rFonts w:ascii="URWPalladioL" w:hAnsi="URWPalladioL" w:eastAsia="URWPalladioL"/>
          <w:color w:val="000000"/>
          <w:sz w:val="20"/>
        </w:rPr>
        <w:t>Rather, the findings demonstrate the feasibility of applying interpretable temporal descrip-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tors across progressively longer observation horizons under patient-grouped evaluation.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The variation in performance between HistGradientBoosting and Logistic Regression fur-</w:t>
      </w:r>
      <w:r>
        <w:br/>
      </w:r>
      <w:r>
        <w:rPr>
          <w:spacing w:val="-10"/>
          <w:w w:val="98.67501258850098"/>
          <w:rFonts w:ascii="URWPalladioL" w:hAnsi="URWPalladioL" w:eastAsia="URWPalladioL"/>
          <w:color w:val="000000"/>
          <w:sz w:val="20"/>
        </w:rPr>
        <w:t xml:space="preserve">ther indicates that the predictive utility of the engineered representation depends partly 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the classifier and observation horizon.</w:t>
      </w:r>
    </w:p>
    <w:p>
      <w:pPr>
        <w:autoSpaceDN w:val="0"/>
        <w:autoSpaceDE w:val="0"/>
        <w:widowControl/>
        <w:spacing w:line="278" w:lineRule="exact" w:before="0" w:after="0"/>
        <w:ind w:left="3082" w:right="446" w:firstLine="432"/>
        <w:jc w:val="both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>Compared with black-box temporal representations, the principal advantage of the pro-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posed approach is therefore methodological transparency rather than predictive superiority.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This emphasis is consistent with increasing attention to interpretability and trustworthy</w:t>
      </w:r>
    </w:p>
    <w:p>
      <w:pPr>
        <w:autoSpaceDN w:val="0"/>
        <w:autoSpaceDE w:val="0"/>
        <w:widowControl/>
        <w:spacing w:line="160" w:lineRule="exact" w:before="820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17 of 19</w:t>
      </w:r>
    </w:p>
    <w:p>
      <w:pPr>
        <w:autoSpaceDN w:val="0"/>
        <w:autoSpaceDE w:val="0"/>
        <w:widowControl/>
        <w:spacing w:line="280" w:lineRule="exact" w:before="534" w:after="0"/>
        <w:ind w:left="3082" w:right="480" w:firstLine="0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>artificial intelligence in clinical prediction [</w:t>
      </w:r>
      <w:hyperlink r:id="rId72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10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73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12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]. Validation using larger cohorts will be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necessary to determine whether the temporal representation provides additional predictive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value over conventional laboratory features.</w:t>
      </w:r>
    </w:p>
    <w:p>
      <w:pPr>
        <w:autoSpaceDN w:val="0"/>
        <w:autoSpaceDE w:val="0"/>
        <w:widowControl/>
        <w:spacing w:line="202" w:lineRule="exact" w:before="268" w:after="0"/>
        <w:ind w:left="0" w:right="6292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4.4. Clinical Implications</w:t>
      </w:r>
    </w:p>
    <w:p>
      <w:pPr>
        <w:autoSpaceDN w:val="0"/>
        <w:autoSpaceDE w:val="0"/>
        <w:widowControl/>
        <w:spacing w:line="278" w:lineRule="exact" w:before="62" w:after="0"/>
        <w:ind w:left="3082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proposed framework converts routinely collected laboratory measurements into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interpretable descriptors of their temporal behavior. Features representing momentum,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persistence, trends, variability, and absolute laboratory levels may provide clinicians with a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more transparent representation of evolving physiological changes than abstract latent fea-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tures generated by complex models. This may be particularly relevant where interpretability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and com</w:t>
      </w:r>
      <w:hyperlink r:id="rId72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>pu</w:t>
        </w:r>
      </w:hyperlink>
      <w:hyperlink r:id="rId73" w:history="1">
        <w:r>
          <w:rPr>
            <w:rStyle w:val="Hyperlink"/>
            <w:rFonts w:ascii="URWPalladioL" w:hAnsi="URWPalladioL" w:eastAsia="URWPalladioL" w:cs="URWPalladioL"/>
            <w:sz w:val="20.123464584350586"/>
            <w:color w:val="000000"/>
            <w:spacing w:val="-10"/>
          </w:rPr>
          <w:t>tat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 xml:space="preserve">ional simplicity are important considerations for clinical decision-support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systems [</w:t>
      </w:r>
      <w:hyperlink r:id="rId72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10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,</w:t>
      </w:r>
      <w:hyperlink r:id="rId73" w:history="1">
        <w:r>
          <w:rPr>
            <w:rStyle w:val="Hyperlink"/>
            <w:rFonts w:ascii="URWPalladioL" w:hAnsi="URWPalladioL" w:eastAsia="URWPalladioL" w:cs="URWPalladioL"/>
            <w:sz w:val="19.925199508666992"/>
            <w:color w:val="0875B7"/>
            <w:spacing w:val="-10"/>
          </w:rPr>
          <w:t>12</w:t>
        </w:r>
      </w:hyperlink>
      <w:r>
        <w:rPr>
          <w:spacing w:val="-10"/>
          <w:rFonts w:ascii="URWPalladioL" w:hAnsi="URWPalladioL" w:eastAsia="URWPalladioL"/>
          <w:color w:val="000000"/>
          <w:sz w:val="20"/>
        </w:rPr>
        <w:t>].</w:t>
      </w:r>
    </w:p>
    <w:p>
      <w:pPr>
        <w:autoSpaceDN w:val="0"/>
        <w:autoSpaceDE w:val="0"/>
        <w:widowControl/>
        <w:spacing w:line="278" w:lineRule="exact" w:before="2" w:after="0"/>
        <w:ind w:left="3082" w:right="480" w:firstLine="424"/>
        <w:jc w:val="both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However, the current findings do not support clinical deployment. The relatively small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horizon-specific cohorts and variable discrimination across observation horizons require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validation in substantially larger and independent datasets. The present framework should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therefore be regarded as a methodological foundation for investigating whether interpretable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temporal laboratory representations can complement established clinical information in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future sepsis risk models.</w:t>
      </w:r>
    </w:p>
    <w:p>
      <w:pPr>
        <w:autoSpaceDN w:val="0"/>
        <w:autoSpaceDE w:val="0"/>
        <w:widowControl/>
        <w:spacing w:line="144" w:lineRule="exact" w:before="274" w:after="0"/>
        <w:ind w:left="0" w:right="7048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4.5. Limitations</w:t>
      </w:r>
    </w:p>
    <w:p>
      <w:pPr>
        <w:autoSpaceDN w:val="0"/>
        <w:autoSpaceDE w:val="0"/>
        <w:widowControl/>
        <w:spacing w:line="278" w:lineRule="exact" w:before="114" w:after="0"/>
        <w:ind w:left="3082" w:right="472" w:firstLine="426"/>
        <w:jc w:val="both"/>
      </w:pPr>
      <w:r>
        <w:rPr>
          <w:spacing w:val="-10"/>
          <w:w w:val="98.72529029846191"/>
          <w:rFonts w:ascii="URWPalladioL" w:hAnsi="URWPalladioL" w:eastAsia="URWPalladioL"/>
          <w:color w:val="000000"/>
          <w:sz w:val="20"/>
        </w:rPr>
        <w:t xml:space="preserve">Several limitations should be considered. First, this study used the MIMIC-IV Clinical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Database Demo, and the horizon-specific feature-availability criteria resulted in relatively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small analytical cohorts, particularly at the shorter observation horizons. The resulting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performance estimates are therefore subject to substantial sampling variability and should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be interpreted as exploratory rather than representative of clinical deployment.</w:t>
      </w:r>
    </w:p>
    <w:p>
      <w:pPr>
        <w:autoSpaceDN w:val="0"/>
        <w:autoSpaceDE w:val="0"/>
        <w:widowControl/>
        <w:spacing w:line="278" w:lineRule="exact" w:before="0" w:after="0"/>
        <w:ind w:left="3088" w:right="464" w:firstLine="424"/>
        <w:jc w:val="both"/>
      </w:pP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Second, the outcome phenotype was based on admission-level ICD-coded sepsis because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the MIMIC-IV Clinical Database Demo does not provide a sufficiently resolved timestamp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for establishing sepsis onset within the evaluated observation horizons. Consequently, the 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study should be interpreted as admission-level sepsis risk classification from early laboratory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trajectories rather than prospective prediction of a time-stamped sepsis event. Validation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using established time-resolved clinical sepsis definitions in larger EHR cohorts is required.</w:t>
      </w:r>
    </w:p>
    <w:p>
      <w:pPr>
        <w:autoSpaceDN w:val="0"/>
        <w:autoSpaceDE w:val="0"/>
        <w:widowControl/>
        <w:spacing w:line="278" w:lineRule="exact" w:before="0" w:after="0"/>
        <w:ind w:left="3082" w:right="480" w:firstLine="426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Third, repeated admissions were addressed using patient-level grouping based on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subject_id, preventing admissions from the same patient from being distributed across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training and validation partitions. Nevertheless, the small number of unique patients </w:t>
      </w:r>
      <w:r>
        <w:br/>
      </w:r>
      <w:r>
        <w:rPr>
          <w:spacing w:val="-10"/>
          <w:w w:val="98.87598037719727"/>
          <w:rFonts w:ascii="URWPalladioL" w:hAnsi="URWPalladioL" w:eastAsia="URWPalladioL"/>
          <w:color w:val="000000"/>
          <w:sz w:val="20"/>
        </w:rPr>
        <w:t xml:space="preserve">limited the statistical power and stability of model evaluation and likely contributed to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variation in predictive performance and feature rankings across observation horizons.</w:t>
      </w:r>
    </w:p>
    <w:p>
      <w:pPr>
        <w:autoSpaceDN w:val="0"/>
        <w:autoSpaceDE w:val="0"/>
        <w:widowControl/>
        <w:spacing w:line="278" w:lineRule="exact" w:before="0" w:after="0"/>
        <w:ind w:left="3082" w:right="472" w:firstLine="432"/>
        <w:jc w:val="both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Fourth, although the ablation analysis demonstrated that MACD-derived descriptors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provided incremental information relative to conventional features in several settings,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magnitude of this benefit varied across classifiers and observation horizons. SCDM-only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performance was less consistent, and the full combined representation was not uniformly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superior. These findings require confirmation in larger cohorts before conclusions can be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drawn regarding the independent value of each temporal descriptor family.</w:t>
      </w:r>
    </w:p>
    <w:p>
      <w:pPr>
        <w:autoSpaceDN w:val="0"/>
        <w:autoSpaceDE w:val="0"/>
        <w:widowControl/>
        <w:spacing w:line="278" w:lineRule="exact" w:before="0" w:after="0"/>
        <w:ind w:left="3082" w:right="432" w:firstLine="424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Finally, feature importance identifies associations used by the predictive models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should not be interpreted as evidence of causal physiological relationships. External multi-</w:t>
      </w:r>
      <w:r>
        <w:br/>
      </w:r>
      <w:r>
        <w:rPr>
          <w:spacing w:val="-10"/>
          <w:w w:val="98.62470626831055"/>
          <w:rFonts w:ascii="URWPalladioL" w:hAnsi="URWPalladioL" w:eastAsia="URWPalladioL"/>
          <w:color w:val="000000"/>
          <w:sz w:val="20"/>
        </w:rPr>
        <w:t xml:space="preserve">center validation, comparison with established clinical baselines, and evaluation using larger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prospective cohorts will be required before the proposed framework can be considered for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clinical decision support.</w:t>
      </w:r>
    </w:p>
    <w:p>
      <w:pPr>
        <w:autoSpaceDN w:val="0"/>
        <w:autoSpaceDE w:val="0"/>
        <w:widowControl/>
        <w:spacing w:line="148" w:lineRule="exact" w:before="270" w:after="0"/>
        <w:ind w:left="0" w:right="6988" w:firstLine="0"/>
        <w:jc w:val="right"/>
      </w:pPr>
      <w:r>
        <w:rPr>
          <w:spacing w:val="-10"/>
          <w:rFonts w:ascii="URWPalladioL" w:hAnsi="URWPalladioL" w:eastAsia="URWPalladioL"/>
          <w:i/>
          <w:color w:val="000000"/>
          <w:sz w:val="20"/>
        </w:rPr>
        <w:t>4.6. Conclusions</w:t>
      </w:r>
    </w:p>
    <w:p>
      <w:pPr>
        <w:autoSpaceDN w:val="0"/>
        <w:autoSpaceDE w:val="0"/>
        <w:widowControl/>
        <w:spacing w:line="278" w:lineRule="exact" w:before="114" w:after="0"/>
        <w:ind w:left="3088" w:right="432" w:firstLine="42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This study presents a proof-of-concept framework for transforming irregular longitu-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dinal laboratory measurements into interpretable temporal representations for admission-</w:t>
      </w:r>
    </w:p>
    <w:p>
      <w:pPr>
        <w:autoSpaceDN w:val="0"/>
        <w:autoSpaceDE w:val="0"/>
        <w:widowControl/>
        <w:spacing w:line="160" w:lineRule="exact" w:before="568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18 of 19</w:t>
      </w:r>
    </w:p>
    <w:p>
      <w:pPr>
        <w:autoSpaceDN w:val="0"/>
        <w:autoSpaceDE w:val="0"/>
        <w:widowControl/>
        <w:spacing w:line="278" w:lineRule="exact" w:before="536" w:after="0"/>
        <w:ind w:left="3080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level sepsis risk classification. By combining conventional statistical descriptors with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MACD-derived momentum features and a lag-1 SCDM persistence measure, the frame-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work captures complementary characteristics of laboratory trajectories while maintaining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explicit feature-level interpretation.</w:t>
      </w:r>
    </w:p>
    <w:p>
      <w:pPr>
        <w:autoSpaceDN w:val="0"/>
        <w:autoSpaceDE w:val="0"/>
        <w:widowControl/>
        <w:spacing w:line="278" w:lineRule="exact" w:before="2" w:after="0"/>
        <w:ind w:left="3082" w:right="432" w:firstLine="432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>Under repeated patient-grouped evaluation, predictive performance and feature im-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portance varied across the 12 h, 18 h, and 24 h observation horizons. The ablation analysis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showed that MACD-derived descriptors provided the most consistent incremental con-</w:t>
      </w:r>
    </w:p>
    <w:p>
      <w:pPr>
        <w:autoSpaceDN w:val="0"/>
        <w:autoSpaceDE w:val="0"/>
        <w:widowControl/>
        <w:spacing w:line="176" w:lineRule="exact" w:before="78" w:after="0"/>
        <w:ind w:left="0" w:right="4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tribution relative to conventional features, whereas the contribution of SCDM and the</w:t>
      </w:r>
    </w:p>
    <w:p>
      <w:pPr>
        <w:autoSpaceDN w:val="0"/>
        <w:autoSpaceDE w:val="0"/>
        <w:widowControl/>
        <w:spacing w:line="278" w:lineRule="exact" w:before="26" w:after="0"/>
        <w:ind w:left="3080" w:right="432" w:firstLine="8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full combined representation was more dependent on observation horizon and classifier.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Although the present results do not support clinical deployment, they provide a method-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 xml:space="preserve">ological basis for evaluating interpretable temporal feature engineering in larger and more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representative clinical cohorts.</w:t>
      </w:r>
    </w:p>
    <w:p>
      <w:pPr>
        <w:autoSpaceDN w:val="0"/>
        <w:autoSpaceDE w:val="0"/>
        <w:widowControl/>
        <w:spacing w:line="202" w:lineRule="exact" w:before="78" w:after="0"/>
        <w:ind w:left="0" w:right="448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Future studies should incorporate established time-resolved sepsis definitions, ad-</w:t>
      </w:r>
    </w:p>
    <w:p>
      <w:pPr>
        <w:autoSpaceDN w:val="0"/>
        <w:autoSpaceDE w:val="0"/>
        <w:widowControl/>
        <w:spacing w:line="174" w:lineRule="exact" w:before="78" w:after="0"/>
        <w:ind w:left="0" w:right="480" w:firstLine="0"/>
        <w:jc w:val="right"/>
      </w:pPr>
      <w:r>
        <w:rPr>
          <w:spacing w:val="-10"/>
          <w:rFonts w:ascii="URWPalladioL" w:hAnsi="URWPalladioL" w:eastAsia="URWPalladioL"/>
          <w:color w:val="000000"/>
          <w:sz w:val="20"/>
        </w:rPr>
        <w:t>ditional clinical variables, and external multicenter validation to determine whether the</w:t>
      </w:r>
    </w:p>
    <w:p>
      <w:pPr>
        <w:autoSpaceDN w:val="0"/>
        <w:autoSpaceDE w:val="0"/>
        <w:widowControl/>
        <w:spacing w:line="278" w:lineRule="exact" w:before="26" w:after="0"/>
        <w:ind w:left="3088" w:right="432" w:hanging="6"/>
        <w:jc w:val="left"/>
      </w:pPr>
      <w:r>
        <w:rPr>
          <w:spacing w:val="-10"/>
          <w:rFonts w:ascii="URWPalladioL" w:hAnsi="URWPalladioL" w:eastAsia="URWPalladioL"/>
          <w:color w:val="000000"/>
          <w:sz w:val="20"/>
        </w:rPr>
        <w:t xml:space="preserve">proposed temporal representation can provide clinically meaningful improvements in </w:t>
      </w:r>
      <w:r>
        <w:br/>
      </w:r>
      <w:r>
        <w:rPr>
          <w:spacing w:val="-10"/>
          <w:rFonts w:ascii="URWPalladioL" w:hAnsi="URWPalladioL" w:eastAsia="URWPalladioL"/>
          <w:color w:val="000000"/>
          <w:sz w:val="20"/>
        </w:rPr>
        <w:t>sepsis risk assessment.</w:t>
      </w:r>
    </w:p>
    <w:p>
      <w:pPr>
        <w:autoSpaceDN w:val="0"/>
        <w:autoSpaceDE w:val="0"/>
        <w:widowControl/>
        <w:spacing w:line="260" w:lineRule="exact" w:before="234" w:after="0"/>
        <w:ind w:left="3082" w:right="432" w:hanging="2"/>
        <w:jc w:val="left"/>
      </w:pPr>
      <w:r>
        <w:rPr>
          <w:spacing w:val="-10"/>
          <w:w w:val="98.62537384033203"/>
          <w:rFonts w:ascii="URWPalladioL" w:hAnsi="URWPalladioL" w:eastAsia="URWPalladioL"/>
          <w:b/>
          <w:color w:val="000000"/>
          <w:sz w:val="18"/>
        </w:rPr>
        <w:t>Author Contributions:</w:t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 xml:space="preserve"> Conceptualization, C.O.N. and M.J.A.; methodology, C.O.N.; software, C.O.N.;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validation, C.O.N. and M.J.A.; formal analysis, C.O.N.; investigation, C.O.N. and M.J.A.; resources,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C.O.N. and M.J.A.; data curation, C.O.N.; writing—original draft preparation, C.O.N. and M.J.A.;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writing—review and editing, C.O.N. and M.J.A.; visualization, C.O.N.; supervision, C.O.N. and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M.J.A.; project administration, C.O.N. and M.J.A. All authors have read and agreed to the published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version of the manuscript.</w:t>
      </w:r>
    </w:p>
    <w:p>
      <w:pPr>
        <w:autoSpaceDN w:val="0"/>
        <w:autoSpaceDE w:val="0"/>
        <w:widowControl/>
        <w:spacing w:line="182" w:lineRule="exact" w:before="198" w:after="0"/>
        <w:ind w:left="0" w:right="4124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Funding: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This research received no external funding.</w:t>
      </w:r>
    </w:p>
    <w:p>
      <w:pPr>
        <w:autoSpaceDN w:val="0"/>
        <w:autoSpaceDE w:val="0"/>
        <w:widowControl/>
        <w:spacing w:line="260" w:lineRule="exact" w:before="120" w:after="0"/>
        <w:ind w:left="3088" w:right="432" w:firstLine="0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Data Availability Statement: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The original contributions presented in this study are included in the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article. Further inquiries can be directed to the corresponding authors.</w:t>
      </w:r>
    </w:p>
    <w:p>
      <w:pPr>
        <w:autoSpaceDN w:val="0"/>
        <w:autoSpaceDE w:val="0"/>
        <w:widowControl/>
        <w:spacing w:line="182" w:lineRule="exact" w:before="198" w:after="0"/>
        <w:ind w:left="0" w:right="3228" w:firstLine="0"/>
        <w:jc w:val="righ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Conflicts of Interest: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The authors declare no conflicts of interest.</w:t>
      </w:r>
    </w:p>
    <w:p>
      <w:pPr>
        <w:autoSpaceDN w:val="0"/>
        <w:autoSpaceDE w:val="0"/>
        <w:widowControl/>
        <w:spacing w:line="176" w:lineRule="exact" w:before="294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24"/>
        </w:rPr>
        <w:t>References</w:t>
      </w:r>
    </w:p>
    <w:p>
      <w:pPr>
        <w:autoSpaceDN w:val="0"/>
        <w:tabs>
          <w:tab w:pos="904" w:val="left"/>
        </w:tabs>
        <w:autoSpaceDE w:val="0"/>
        <w:widowControl/>
        <w:spacing w:line="310" w:lineRule="exact" w:before="0" w:after="0"/>
        <w:ind w:left="474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1.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Rhee, C.; Dantes, R.; Epstein, L.; Murphy, D.J.; Seymour, C.W.; Iwashyna, T.J.; Kadri, S.S.; Angus, D.C.; Danner, R.L.; F</w:t>
      </w:r>
      <w:hyperlink r:id="rId104" w:history="1">
        <w:r>
          <w:rPr>
            <w:rStyle w:val="Hyperlink"/>
            <w:rFonts w:ascii="URWPalladioL" w:hAnsi="URWPalladioL" w:eastAsia="URWPalladioL" w:cs="URWPalladioL"/>
            <w:sz w:val="18.11124038696289"/>
            <w:color w:val="000000"/>
            <w:spacing w:val="-10"/>
          </w:rPr>
          <w:t>iore, A.E.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 xml:space="preserve">; </w:t>
      </w:r>
      <w:r>
        <w:br/>
      </w:r>
      <w:r>
        <w:tab/>
      </w:r>
      <w:hyperlink r:id="rId105" w:history="1">
        <w:r>
          <w:rPr>
            <w:rStyle w:val="Hyperlink"/>
            <w:rFonts w:ascii="URWPalladioL" w:hAnsi="URWPalladioL" w:eastAsia="URWPalladioL" w:cs="URWPalladioL"/>
            <w:sz w:val="17.860925674438477"/>
            <w:color w:val="000000"/>
            <w:spacing w:val="-10"/>
          </w:rPr>
          <w:t>et al. Inci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dence and trends of sepsis in US hospitals using clinical vs. claims data, 2009–2014.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JAMA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2017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318</w:t>
      </w:r>
      <w:r>
        <w:rPr>
          <w:spacing w:val="-10"/>
          <w:rFonts w:ascii="URWPalladioL" w:hAnsi="URWPalladioL" w:eastAsia="URWPalladioL"/>
          <w:color w:val="000000"/>
          <w:sz w:val="18"/>
        </w:rPr>
        <w:t>, 1241–1249. [</w:t>
      </w:r>
      <w:hyperlink r:id="rId104" w:history="1">
        <w:r>
          <w:rPr>
            <w:rStyle w:val="Hyperlink"/>
            <w:rFonts w:ascii="URWPalladioL" w:hAnsi="URWPalladioL" w:eastAsia="URWPalladioL" w:cs="URWPalladioL"/>
            <w:sz w:val="17.860925674438477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256" w:lineRule="exact" w:before="0" w:after="0"/>
        <w:ind w:left="474" w:right="432" w:firstLine="0"/>
        <w:jc w:val="left"/>
      </w:pP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[</w:t>
      </w:r>
      <w:hyperlink r:id="rId105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 xml:space="preserve">]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2.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Singer, M.; Deutschman, C.S.; Seymour, C.W.; Shankar-Hari, M.; Annane, D.; Bauer, M.; Bellomo, R.; Bernard, G.R.; Chiche, J.-D.;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Coopersm</w:t>
      </w:r>
      <w:hyperlink r:id="rId106" w:history="1">
        <w:r>
          <w:rPr>
            <w:rStyle w:val="Hyperlink"/>
            <w:rFonts w:ascii="URWPalladioL" w:hAnsi="URWPalladioL" w:eastAsia="URWPalladioL" w:cs="URWPalladioL"/>
            <w:sz w:val="17.87891960144043"/>
            <w:color w:val="000000"/>
            <w:spacing w:val="-10"/>
          </w:rPr>
          <w:t>ith, C.M.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; e</w:t>
      </w:r>
      <w:hyperlink r:id="rId107" w:history="1">
        <w:r>
          <w:rPr>
            <w:rStyle w:val="Hyperlink"/>
            <w:rFonts w:ascii="URWPalladioL" w:hAnsi="URWPalladioL" w:eastAsia="URWPalladioL" w:cs="URWPalladioL"/>
            <w:sz w:val="17.87891960144043"/>
            <w:color w:val="000000"/>
            <w:spacing w:val="-10"/>
          </w:rPr>
          <w:t xml:space="preserve">t al. The 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Third International Consensus Definitions for Sepsis and Septic Shock (Sepsis-3).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JAMA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2016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315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</w:p>
    <w:p>
      <w:pPr>
        <w:autoSpaceDN w:val="0"/>
        <w:autoSpaceDE w:val="0"/>
        <w:widowControl/>
        <w:spacing w:line="162" w:lineRule="exact" w:before="74" w:after="0"/>
        <w:ind w:left="90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>801–810. [</w:t>
      </w:r>
      <w:hyperlink r:id="rId106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07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264" w:lineRule="exact" w:before="0" w:after="0"/>
        <w:ind w:left="474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3.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Desautels, T.; Calvert, J.; Hoffman, J.; Jay, M.; Kerem, Y.; Shieh, L.; Shimabukuro, D.; Chettipally, U.; Feldman, M.D.; Barton, C.; </w:t>
      </w:r>
      <w:r>
        <w:br/>
      </w:r>
      <w:r>
        <w:tab/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>et al. Prediction of sepsis in the intensive care unit with minimal electronic health record data: A machine learning approach.</w:t>
      </w:r>
      <w:r>
        <w:rPr>
          <w:spacing w:val="-10"/>
          <w:w w:val="98.62537384033203"/>
          <w:rFonts w:ascii="URWPalladioL" w:hAnsi="URWPalladioL" w:eastAsia="URWPalladioL"/>
          <w:i/>
          <w:color w:val="000000"/>
          <w:sz w:val="18"/>
        </w:rPr>
        <w:t xml:space="preserve"> Crit.</w:t>
      </w:r>
    </w:p>
    <w:p>
      <w:pPr>
        <w:autoSpaceDN w:val="0"/>
        <w:autoSpaceDE w:val="0"/>
        <w:widowControl/>
        <w:spacing w:line="160" w:lineRule="exact" w:before="72" w:after="0"/>
        <w:ind w:left="898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8"/>
        </w:rPr>
        <w:t>Care Med.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2016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44</w:t>
      </w:r>
      <w:r>
        <w:rPr>
          <w:spacing w:val="-10"/>
          <w:rFonts w:ascii="URWPalladioL" w:hAnsi="URWPalladioL" w:eastAsia="URWPalladioL"/>
          <w:color w:val="000000"/>
          <w:sz w:val="18"/>
        </w:rPr>
        <w:t>, 1340–1349.</w:t>
      </w:r>
    </w:p>
    <w:p>
      <w:pPr>
        <w:autoSpaceDN w:val="0"/>
        <w:tabs>
          <w:tab w:pos="904" w:val="left"/>
        </w:tabs>
        <w:autoSpaceDE w:val="0"/>
        <w:widowControl/>
        <w:spacing w:line="182" w:lineRule="exact" w:before="40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4.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Henry, K.E.; Hager, D.N.; Pron</w:t>
      </w:r>
      <w:hyperlink r:id="rId108" w:history="1">
        <w:r>
          <w:rPr>
            <w:rStyle w:val="Hyperlink"/>
            <w:rFonts w:ascii="URWPalladioL" w:hAnsi="URWPalladioL" w:eastAsia="URWPalladioL" w:cs="URWPalladioL"/>
            <w:sz w:val="18.10236167907715"/>
            <w:color w:val="000000"/>
            <w:spacing w:val="-10"/>
          </w:rPr>
          <w:t>ovost, P.J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 xml:space="preserve">.; </w:t>
      </w:r>
      <w:hyperlink r:id="rId109" w:history="1">
        <w:r>
          <w:rPr>
            <w:rStyle w:val="Hyperlink"/>
            <w:rFonts w:ascii="URWPalladioL" w:hAnsi="URWPalladioL" w:eastAsia="URWPalladioL" w:cs="URWPalladioL"/>
            <w:sz w:val="18.10236167907715"/>
            <w:color w:val="000000"/>
            <w:spacing w:val="-10"/>
          </w:rPr>
          <w:t xml:space="preserve">Saria, S. 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A targeted real-time early warning score (TREWScore) for septic shock.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Sci.</w:t>
      </w:r>
    </w:p>
    <w:p>
      <w:pPr>
        <w:autoSpaceDN w:val="0"/>
        <w:autoSpaceDE w:val="0"/>
        <w:widowControl/>
        <w:spacing w:line="164" w:lineRule="exact" w:before="74" w:after="0"/>
        <w:ind w:left="894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8"/>
        </w:rPr>
        <w:t>Transl. Med.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2015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7</w:t>
      </w:r>
      <w:r>
        <w:rPr>
          <w:spacing w:val="-10"/>
          <w:rFonts w:ascii="URWPalladioL" w:hAnsi="URWPalladioL" w:eastAsia="URWPalladioL"/>
          <w:color w:val="000000"/>
          <w:sz w:val="18"/>
        </w:rPr>
        <w:t>, 299ra122. [</w:t>
      </w:r>
      <w:hyperlink r:id="rId108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09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264" w:lineRule="exact" w:before="0" w:after="0"/>
        <w:ind w:left="474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5. </w:t>
      </w:r>
      <w:r>
        <w:tab/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>Nyatega, C.O.; Li, Q.; Nie, W.; Adamu, M.J.; Li, S. Causal models and network i</w:t>
      </w:r>
      <w:hyperlink r:id="rId110" w:history="1">
        <w:r>
          <w:rPr>
            <w:rStyle w:val="Hyperlink"/>
            <w:rFonts w:ascii="URWPalladioL" w:hAnsi="URWPalladioL" w:eastAsia="URWPalladioL" w:cs="URWPalladioL"/>
            <w:sz w:val="17.752567291259766"/>
            <w:color w:val="000000"/>
            <w:w w:val="98.62537384033203"/>
            <w:spacing w:val="-10"/>
          </w:rPr>
          <w:t xml:space="preserve">nstability </w:t>
        </w:r>
      </w:hyperlink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>in</w:t>
      </w:r>
      <w:hyperlink r:id="rId111" w:history="1">
        <w:r>
          <w:rPr>
            <w:rStyle w:val="Hyperlink"/>
            <w:rFonts w:ascii="URWPalladioL" w:hAnsi="URWPalladioL" w:eastAsia="URWPalladioL" w:cs="URWPalladioL"/>
            <w:sz w:val="17.752567291259766"/>
            <w:color w:val="000000"/>
            <w:w w:val="98.62537384033203"/>
            <w:spacing w:val="-10"/>
          </w:rPr>
          <w:t xml:space="preserve"> neurolog</w:t>
        </w:r>
      </w:hyperlink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 xml:space="preserve">ical and psychiatric disorders: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Computational and clinical perspectives.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Behav. Brain Res.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501</w:t>
      </w:r>
      <w:r>
        <w:rPr>
          <w:spacing w:val="-10"/>
          <w:rFonts w:ascii="URWPalladioL" w:hAnsi="URWPalladioL" w:eastAsia="URWPalladioL"/>
          <w:color w:val="000000"/>
          <w:sz w:val="18"/>
        </w:rPr>
        <w:t>, 116007. [</w:t>
      </w:r>
      <w:hyperlink r:id="rId110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11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256" w:lineRule="exact" w:before="0" w:after="0"/>
        <w:ind w:left="474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6.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Hyland, S.L.; Faltys, M.; Hüser, M.; Lyu, X.; Gumbsch, T.; Esteban, C.; Bock, C.; Horn, M.; Moor, M.; </w:t>
      </w:r>
      <w:hyperlink r:id="rId112" w:history="1">
        <w:r>
          <w:rPr>
            <w:rStyle w:val="Hyperlink"/>
            <w:rFonts w:ascii="URWPalladioL" w:hAnsi="URWPalladioL" w:eastAsia="URWPalladioL" w:cs="URWPalladioL"/>
            <w:sz w:val="17.905881881713867"/>
            <w:color w:val="000000"/>
            <w:spacing w:val="-10"/>
          </w:rPr>
          <w:t xml:space="preserve">Rieck, B.; 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et</w:t>
      </w:r>
      <w:hyperlink r:id="rId113" w:history="1">
        <w:r>
          <w:rPr>
            <w:rStyle w:val="Hyperlink"/>
            <w:rFonts w:ascii="URWPalladioL" w:hAnsi="URWPalladioL" w:eastAsia="URWPalladioL" w:cs="URWPalladioL"/>
            <w:sz w:val="17.905881881713867"/>
            <w:color w:val="000000"/>
            <w:spacing w:val="-10"/>
          </w:rPr>
          <w:t xml:space="preserve"> al. Early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 xml:space="preserve"> prediction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of circulatory failure in the intensive care unit using machine learning.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Nat. Med.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2020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26</w:t>
      </w:r>
      <w:r>
        <w:rPr>
          <w:spacing w:val="-10"/>
          <w:rFonts w:ascii="URWPalladioL" w:hAnsi="URWPalladioL" w:eastAsia="URWPalladioL"/>
          <w:color w:val="000000"/>
          <w:sz w:val="18"/>
        </w:rPr>
        <w:t>, 364–373. [</w:t>
      </w:r>
      <w:hyperlink r:id="rId112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13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256" w:lineRule="exact" w:before="0" w:after="0"/>
        <w:ind w:left="474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7.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Nemati, S.; Holder, A.; Razmi, F.; Stanley, M.D.; Clifford, G.D.; Buchman, T.G. An inte</w:t>
      </w:r>
      <w:hyperlink r:id="rId114" w:history="1">
        <w:r>
          <w:rPr>
            <w:rStyle w:val="Hyperlink"/>
            <w:rFonts w:ascii="URWPalladioL" w:hAnsi="URWPalladioL" w:eastAsia="URWPalladioL" w:cs="URWPalladioL"/>
            <w:sz w:val="18.11124038696289"/>
            <w:color w:val="000000"/>
            <w:spacing w:val="-10"/>
          </w:rPr>
          <w:t xml:space="preserve">rpretable 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 xml:space="preserve">machine learning model for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accurate prediction of sepsis in the intensive care unit.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Crit. Care Med.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2018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46</w:t>
      </w:r>
      <w:r>
        <w:rPr>
          <w:spacing w:val="-10"/>
          <w:rFonts w:ascii="URWPalladioL" w:hAnsi="URWPalladioL" w:eastAsia="URWPalladioL"/>
          <w:color w:val="000000"/>
          <w:sz w:val="18"/>
        </w:rPr>
        <w:t>, 547–553. [</w:t>
      </w:r>
      <w:hyperlink r:id="rId114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256" w:lineRule="exact" w:before="0" w:after="0"/>
        <w:ind w:left="474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8. </w:t>
      </w:r>
      <w:r>
        <w:tab/>
      </w:r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>Shickel, B.; Tighe, P.J.; Bihorac, A.; Rashidi, P. Deep EHR: A Survey of Recent Advanc</w:t>
      </w:r>
      <w:hyperlink r:id="rId115" w:history="1">
        <w:r>
          <w:rPr>
            <w:rStyle w:val="Hyperlink"/>
            <w:rFonts w:ascii="URWPalladioL" w:hAnsi="URWPalladioL" w:eastAsia="URWPalladioL" w:cs="URWPalladioL"/>
            <w:sz w:val="17.752567291259766"/>
            <w:color w:val="000000"/>
            <w:w w:val="98.62537384033203"/>
            <w:spacing w:val="-10"/>
          </w:rPr>
          <w:t>es in Deep</w:t>
        </w:r>
      </w:hyperlink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 xml:space="preserve"> L</w:t>
      </w:r>
      <w:hyperlink r:id="rId116" w:history="1">
        <w:r>
          <w:rPr>
            <w:rStyle w:val="Hyperlink"/>
            <w:rFonts w:ascii="URWPalladioL" w:hAnsi="URWPalladioL" w:eastAsia="URWPalladioL" w:cs="URWPalladioL"/>
            <w:sz w:val="17.752567291259766"/>
            <w:color w:val="000000"/>
            <w:w w:val="98.62537384033203"/>
            <w:spacing w:val="-10"/>
          </w:rPr>
          <w:t xml:space="preserve">earning </w:t>
        </w:r>
      </w:hyperlink>
      <w:r>
        <w:rPr>
          <w:spacing w:val="-10"/>
          <w:w w:val="98.62537384033203"/>
          <w:rFonts w:ascii="URWPalladioL" w:hAnsi="URWPalladioL" w:eastAsia="URWPalladioL"/>
          <w:color w:val="000000"/>
          <w:sz w:val="18"/>
        </w:rPr>
        <w:t xml:space="preserve">Techniques for Electronic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Health Record (EHR) Analysis.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IEEE J. Biomed. Health Inform.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2018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22</w:t>
      </w:r>
      <w:r>
        <w:rPr>
          <w:spacing w:val="-10"/>
          <w:rFonts w:ascii="URWPalladioL" w:hAnsi="URWPalladioL" w:eastAsia="URWPalladioL"/>
          <w:color w:val="000000"/>
          <w:sz w:val="18"/>
        </w:rPr>
        <w:t>, 1589–1604. [</w:t>
      </w:r>
      <w:hyperlink r:id="rId115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16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182" w:lineRule="exact" w:before="18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9. </w:t>
      </w:r>
      <w:r>
        <w:tab/>
      </w:r>
      <w:r>
        <w:rPr>
          <w:spacing w:val="-10"/>
          <w:w w:val="98.97697236802843"/>
          <w:rFonts w:ascii="URWPalladioL" w:hAnsi="URWPalladioL" w:eastAsia="URWPalladioL"/>
          <w:color w:val="000000"/>
          <w:sz w:val="18"/>
        </w:rPr>
        <w:t xml:space="preserve">Che, Z.; Purushotham, </w:t>
      </w:r>
      <w:hyperlink r:id="rId117" w:history="1">
        <w:r>
          <w:rPr>
            <w:rStyle w:val="Hyperlink"/>
            <w:rFonts w:ascii="URWPalladioL" w:hAnsi="URWPalladioL" w:eastAsia="URWPalladioL" w:cs="URWPalladioL"/>
            <w:sz w:val="17.815855026245117"/>
            <w:color w:val="000000"/>
            <w:w w:val="98.97697236802843"/>
            <w:spacing w:val="-10"/>
          </w:rPr>
          <w:t>S.; Cho, K</w:t>
        </w:r>
      </w:hyperlink>
      <w:r>
        <w:rPr>
          <w:spacing w:val="-10"/>
          <w:w w:val="98.97697236802843"/>
          <w:rFonts w:ascii="URWPalladioL" w:hAnsi="URWPalladioL" w:eastAsia="URWPalladioL"/>
          <w:color w:val="000000"/>
          <w:sz w:val="18"/>
        </w:rPr>
        <w:t xml:space="preserve">.; </w:t>
      </w:r>
      <w:hyperlink r:id="rId118" w:history="1">
        <w:r>
          <w:rPr>
            <w:rStyle w:val="Hyperlink"/>
            <w:rFonts w:ascii="URWPalladioL" w:hAnsi="URWPalladioL" w:eastAsia="URWPalladioL" w:cs="URWPalladioL"/>
            <w:sz w:val="17.815855026245117"/>
            <w:color w:val="000000"/>
            <w:w w:val="98.97697236802843"/>
            <w:spacing w:val="-10"/>
          </w:rPr>
          <w:t>Sontag, D</w:t>
        </w:r>
      </w:hyperlink>
      <w:r>
        <w:rPr>
          <w:spacing w:val="-10"/>
          <w:w w:val="98.97697236802843"/>
          <w:rFonts w:ascii="URWPalladioL" w:hAnsi="URWPalladioL" w:eastAsia="URWPalladioL"/>
          <w:color w:val="000000"/>
          <w:sz w:val="18"/>
        </w:rPr>
        <w:t>.; Liu, Y. Recurrent neural networks for multivariate time series with missing values.</w:t>
      </w:r>
    </w:p>
    <w:p>
      <w:pPr>
        <w:autoSpaceDN w:val="0"/>
        <w:tabs>
          <w:tab w:pos="898" w:val="left"/>
          <w:tab w:pos="900" w:val="left"/>
          <w:tab w:pos="904" w:val="left"/>
        </w:tabs>
        <w:autoSpaceDE w:val="0"/>
        <w:widowControl/>
        <w:spacing w:line="256" w:lineRule="exact" w:before="0" w:after="0"/>
        <w:ind w:left="474" w:right="432" w:firstLine="0"/>
        <w:jc w:val="left"/>
      </w:pPr>
      <w:r>
        <w:tab/>
      </w:r>
      <w:r>
        <w:tab/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>Sci. Rep.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2018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8</w:t>
      </w:r>
      <w:r>
        <w:rPr>
          <w:spacing w:val="-10"/>
          <w:rFonts w:ascii="URWPalladioL" w:hAnsi="URWPalladioL" w:eastAsia="URWPalladioL"/>
          <w:color w:val="000000"/>
          <w:sz w:val="18"/>
        </w:rPr>
        <w:t>, 6085. [</w:t>
      </w:r>
      <w:hyperlink r:id="rId117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18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 xml:space="preserve">]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10. </w:t>
      </w:r>
      <w:r>
        <w:tab/>
      </w:r>
      <w:r>
        <w:tab/>
      </w:r>
      <w:r>
        <w:tab/>
      </w:r>
      <w:r>
        <w:rPr>
          <w:spacing w:val="-10"/>
          <w:w w:val="98.67567486233182"/>
          <w:rFonts w:ascii="URWPalladioL" w:hAnsi="URWPalladioL" w:eastAsia="URWPalladioL"/>
          <w:color w:val="000000"/>
          <w:sz w:val="18"/>
        </w:rPr>
        <w:t>Wiens, J.; Saria, S.; Sendak, M.; Ghassemi, M.; Liu, V.X.; Doshi-Velez, F.; Jung, K.; Heller, K.; Ka</w:t>
      </w:r>
      <w:hyperlink r:id="rId119" w:history="1">
        <w:r>
          <w:rPr>
            <w:rStyle w:val="Hyperlink"/>
            <w:rFonts w:ascii="URWPalladioL" w:hAnsi="URWPalladioL" w:eastAsia="URWPalladioL" w:cs="URWPalladioL"/>
            <w:sz w:val="17.761621475219727"/>
            <w:color w:val="000000"/>
            <w:w w:val="98.67567486233182"/>
            <w:spacing w:val="-10"/>
          </w:rPr>
          <w:t>le, D.; Sae</w:t>
        </w:r>
      </w:hyperlink>
      <w:r>
        <w:rPr>
          <w:spacing w:val="-10"/>
          <w:w w:val="98.67567486233182"/>
          <w:rFonts w:ascii="URWPalladioL" w:hAnsi="URWPalladioL" w:eastAsia="URWPalladioL"/>
          <w:color w:val="000000"/>
          <w:sz w:val="18"/>
        </w:rPr>
        <w:t>e</w:t>
      </w:r>
      <w:hyperlink r:id="rId120" w:history="1">
        <w:r>
          <w:rPr>
            <w:rStyle w:val="Hyperlink"/>
            <w:rFonts w:ascii="URWPalladioL" w:hAnsi="URWPalladioL" w:eastAsia="URWPalladioL" w:cs="URWPalladioL"/>
            <w:sz w:val="17.761621475219727"/>
            <w:color w:val="000000"/>
            <w:w w:val="98.67567486233182"/>
            <w:spacing w:val="-10"/>
          </w:rPr>
          <w:t>d, M.; et a</w:t>
        </w:r>
      </w:hyperlink>
      <w:r>
        <w:rPr>
          <w:spacing w:val="-10"/>
          <w:w w:val="98.67567486233182"/>
          <w:rFonts w:ascii="URWPalladioL" w:hAnsi="URWPalladioL" w:eastAsia="URWPalladioL"/>
          <w:color w:val="000000"/>
          <w:sz w:val="18"/>
        </w:rPr>
        <w:t xml:space="preserve">l. Do no harm: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A roadmap for responsible machine learning for health care.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Nat. Med.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2019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25</w:t>
      </w:r>
      <w:r>
        <w:rPr>
          <w:spacing w:val="-10"/>
          <w:rFonts w:ascii="URWPalladioL" w:hAnsi="URWPalladioL" w:eastAsia="URWPalladioL"/>
          <w:color w:val="000000"/>
          <w:sz w:val="18"/>
        </w:rPr>
        <w:t>, 1337–1340. [</w:t>
      </w:r>
      <w:hyperlink r:id="rId119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20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autoSpaceDE w:val="0"/>
        <w:widowControl/>
        <w:spacing w:line="160" w:lineRule="exact" w:before="59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p>
      <w:pPr>
        <w:sectPr>
          <w:pgSz w:w="11906" w:h="16838"/>
          <w:pgMar w:top="240" w:right="240" w:bottom="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453390</wp:posOffset>
            </wp:positionH>
            <wp:positionV relativeFrom="page">
              <wp:posOffset>648970</wp:posOffset>
            </wp:positionV>
            <wp:extent cx="664971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4971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38" w:after="0"/>
        <w:ind w:left="0" w:right="0"/>
      </w:pPr>
    </w:p>
    <w:p>
      <w:pPr>
        <w:autoSpaceDN w:val="0"/>
        <w:tabs>
          <w:tab w:pos="10406" w:val="left"/>
        </w:tabs>
        <w:autoSpaceDE w:val="0"/>
        <w:widowControl/>
        <w:spacing w:line="142" w:lineRule="exact" w:before="0" w:after="0"/>
        <w:ind w:left="470" w:right="0" w:firstLine="0"/>
        <w:jc w:val="left"/>
      </w:pPr>
      <w:r>
        <w:rPr>
          <w:spacing w:val="-10"/>
          <w:rFonts w:ascii="URWPalladioL" w:hAnsi="URWPalladioL" w:eastAsia="URWPalladioL"/>
          <w:i/>
          <w:color w:val="000000"/>
          <w:sz w:val="16"/>
        </w:rPr>
        <w:t>Electronics</w:t>
      </w:r>
      <w:r>
        <w:rPr>
          <w:spacing w:val="-10"/>
          <w:rFonts w:ascii="URWPalladioL" w:hAnsi="URWPalladioL" w:eastAsia="URWPalladioL"/>
          <w:b/>
          <w:color w:val="000000"/>
          <w:sz w:val="16"/>
        </w:rPr>
        <w:t xml:space="preserve"> 2026</w:t>
      </w:r>
      <w:r>
        <w:rPr>
          <w:spacing w:val="-10"/>
          <w:rFonts w:ascii="URWPalladioL" w:hAnsi="URWPalladioL" w:eastAsia="URWPalladioL"/>
          <w:color w:val="000000"/>
          <w:sz w:val="16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6"/>
        </w:rPr>
        <w:t xml:space="preserve"> 15</w:t>
      </w:r>
      <w:r>
        <w:rPr>
          <w:spacing w:val="-10"/>
          <w:rFonts w:ascii="URWPalladioL" w:hAnsi="URWPalladioL" w:eastAsia="URWPalladioL"/>
          <w:color w:val="000000"/>
          <w:sz w:val="16"/>
        </w:rPr>
        <w:t xml:space="preserve">, 3951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6"/>
        </w:rPr>
        <w:t>19 of 19</w:t>
      </w:r>
    </w:p>
    <w:p>
      <w:pPr>
        <w:autoSpaceDN w:val="0"/>
        <w:tabs>
          <w:tab w:pos="904" w:val="left"/>
        </w:tabs>
        <w:autoSpaceDE w:val="0"/>
        <w:widowControl/>
        <w:spacing w:line="182" w:lineRule="exact" w:before="572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11.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Rajkomar, A.; Dean, J.; Kohane, I. Machine Learning in Medicine.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N. Engl. J. Med.</w:t>
      </w:r>
      <w:r>
        <w:rPr>
          <w:spacing w:val="-10"/>
          <w:rFonts w:ascii="URWPalladioL" w:hAnsi="URWPalladioL" w:eastAsia="URWPalladioL"/>
          <w:b/>
          <w:color w:val="000000"/>
          <w:sz w:val="18"/>
        </w:rPr>
        <w:t xml:space="preserve"> 2019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380</w:t>
      </w:r>
      <w:r>
        <w:rPr>
          <w:spacing w:val="-10"/>
          <w:rFonts w:ascii="URWPalladioL" w:hAnsi="URWPalladioL" w:eastAsia="URWPalladioL"/>
          <w:color w:val="000000"/>
          <w:sz w:val="18"/>
        </w:rPr>
        <w:t>, 1347–1358. [</w:t>
      </w:r>
      <w:hyperlink r:id="rId121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 [</w:t>
      </w:r>
      <w:hyperlink r:id="rId122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PubMed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180" w:lineRule="exact" w:before="18" w:after="0"/>
        <w:ind w:left="474" w:right="0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12.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Schölkopf, B.; Locat</w:t>
      </w:r>
      <w:hyperlink r:id="rId123" w:history="1">
        <w:r>
          <w:rPr>
            <w:rStyle w:val="Hyperlink"/>
            <w:rFonts w:ascii="URWPalladioL" w:hAnsi="URWPalladioL" w:eastAsia="URWPalladioL" w:cs="URWPalladioL"/>
            <w:sz w:val="17.95072364807129"/>
            <w:color w:val="000000"/>
            <w:spacing w:val="-10"/>
          </w:rPr>
          <w:t>ello, F.; Ba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uer, S.; Ke, N.R.; Kalchbrenner, N.; Goyal, A. Toward Causal Representation Learning.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Proc. IEEE</w:t>
      </w:r>
    </w:p>
    <w:p>
      <w:pPr>
        <w:autoSpaceDN w:val="0"/>
        <w:autoSpaceDE w:val="0"/>
        <w:widowControl/>
        <w:spacing w:line="164" w:lineRule="exact" w:before="74" w:after="0"/>
        <w:ind w:left="904" w:right="0" w:firstLine="0"/>
        <w:jc w:val="left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2021</w:t>
      </w:r>
      <w:r>
        <w:rPr>
          <w:spacing w:val="-10"/>
          <w:rFonts w:ascii="URWPalladioL" w:hAnsi="URWPalladioL" w:eastAsia="URWPalladioL"/>
          <w:color w:val="000000"/>
          <w:sz w:val="18"/>
        </w:rPr>
        <w:t>,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109</w:t>
      </w:r>
      <w:r>
        <w:rPr>
          <w:spacing w:val="-10"/>
          <w:rFonts w:ascii="URWPalladioL" w:hAnsi="URWPalladioL" w:eastAsia="URWPalladioL"/>
          <w:color w:val="000000"/>
          <w:sz w:val="18"/>
        </w:rPr>
        <w:t>, 612–634. [</w:t>
      </w:r>
      <w:hyperlink r:id="rId123" w:history="1">
        <w:r>
          <w:rPr>
            <w:rStyle w:val="Hyperlink"/>
            <w:rFonts w:ascii="URWPalladioL" w:hAnsi="URWPalladioL" w:eastAsia="URWPalladioL" w:cs="URWPalladioL"/>
            <w:sz w:val="17.93280029296875"/>
            <w:color w:val="0875B7"/>
            <w:spacing w:val="-10"/>
          </w:rPr>
          <w:t>CrossRef</w:t>
        </w:r>
      </w:hyperlink>
      <w:r>
        <w:rPr>
          <w:spacing w:val="-10"/>
          <w:rFonts w:ascii="URWPalladioL" w:hAnsi="URWPalladioL" w:eastAsia="URWPalladioL"/>
          <w:color w:val="000000"/>
          <w:sz w:val="18"/>
        </w:rPr>
        <w:t>]</w:t>
      </w:r>
    </w:p>
    <w:p>
      <w:pPr>
        <w:autoSpaceDN w:val="0"/>
        <w:tabs>
          <w:tab w:pos="904" w:val="left"/>
        </w:tabs>
        <w:autoSpaceDE w:val="0"/>
        <w:widowControl/>
        <w:spacing w:line="264" w:lineRule="exact" w:before="0" w:after="0"/>
        <w:ind w:left="474" w:right="432" w:firstLine="0"/>
        <w:jc w:val="left"/>
      </w:pPr>
      <w:r>
        <w:rPr>
          <w:spacing w:val="-10"/>
          <w:rFonts w:ascii="URWPalladioL" w:hAnsi="URWPalladioL" w:eastAsia="URWPalladioL"/>
          <w:color w:val="000000"/>
          <w:sz w:val="18"/>
        </w:rPr>
        <w:t xml:space="preserve">13. </w:t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Johnson, A.; Bulgarelli, L.; Pollard, T.; Horng, S.; Celi, L.A.; Mark, R.</w:t>
      </w:r>
      <w:r>
        <w:rPr>
          <w:spacing w:val="-10"/>
          <w:rFonts w:ascii="URWPalladioL" w:hAnsi="URWPalladioL" w:eastAsia="URWPalladioL"/>
          <w:i/>
          <w:color w:val="000000"/>
          <w:sz w:val="18"/>
        </w:rPr>
        <w:t xml:space="preserve"> MIMIC-IV Clinical Database Demo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, version 2.2; PhysioNet: </w:t>
      </w:r>
      <w:r>
        <w:br/>
      </w:r>
      <w:r>
        <w:tab/>
      </w:r>
      <w:r>
        <w:rPr>
          <w:spacing w:val="-10"/>
          <w:rFonts w:ascii="URWPalladioL" w:hAnsi="URWPalladioL" w:eastAsia="URWPalladioL"/>
          <w:color w:val="000000"/>
          <w:sz w:val="18"/>
        </w:rPr>
        <w:t>MIT Laboratory for Computational Physiology: Cambridge, MA, USA, 2022.</w:t>
      </w:r>
    </w:p>
    <w:p>
      <w:pPr>
        <w:autoSpaceDN w:val="0"/>
        <w:autoSpaceDE w:val="0"/>
        <w:widowControl/>
        <w:spacing w:line="256" w:lineRule="exact" w:before="318" w:after="0"/>
        <w:ind w:left="468" w:right="480" w:firstLine="0"/>
        <w:jc w:val="both"/>
      </w:pPr>
      <w:r>
        <w:rPr>
          <w:spacing w:val="-10"/>
          <w:rFonts w:ascii="URWPalladioL" w:hAnsi="URWPalladioL" w:eastAsia="URWPalladioL"/>
          <w:b/>
          <w:color w:val="000000"/>
          <w:sz w:val="18"/>
        </w:rPr>
        <w:t>Disclaimer/Publisher’s Note:</w:t>
      </w:r>
      <w:r>
        <w:rPr>
          <w:spacing w:val="-10"/>
          <w:rFonts w:ascii="URWPalladioL" w:hAnsi="URWPalladioL" w:eastAsia="URWPalladioL"/>
          <w:color w:val="000000"/>
          <w:sz w:val="18"/>
        </w:rPr>
        <w:t xml:space="preserve"> The statements, opinions and data contained in all publications are solely those of the individual </w:t>
      </w:r>
      <w:r>
        <w:br/>
      </w:r>
      <w:r>
        <w:rPr>
          <w:spacing w:val="-10"/>
          <w:w w:val="98.87664582994249"/>
          <w:rFonts w:ascii="URWPalladioL" w:hAnsi="URWPalladioL" w:eastAsia="URWPalladioL"/>
          <w:color w:val="000000"/>
          <w:sz w:val="18"/>
        </w:rPr>
        <w:t xml:space="preserve">author(s) and contributor(s) and not of MDPI and/or the editor(s). MDPI and/or the editor(s) disclaim responsibility for any injury to </w:t>
      </w:r>
      <w:r>
        <w:br/>
      </w:r>
      <w:r>
        <w:rPr>
          <w:spacing w:val="-10"/>
          <w:rFonts w:ascii="URWPalladioL" w:hAnsi="URWPalladioL" w:eastAsia="URWPalladioL"/>
          <w:color w:val="000000"/>
          <w:sz w:val="18"/>
        </w:rPr>
        <w:t>people or property resulting from any ideas, methods, instructions or products referred to in the content.</w:t>
      </w:r>
    </w:p>
    <w:p>
      <w:pPr>
        <w:autoSpaceDN w:val="0"/>
        <w:autoSpaceDE w:val="0"/>
        <w:widowControl/>
        <w:spacing w:line="160" w:lineRule="exact" w:before="12316" w:after="0"/>
        <w:ind w:left="0" w:right="480" w:firstLine="0"/>
        <w:jc w:val="right"/>
      </w:pPr>
      <w:hyperlink r:id="rId10" w:history="1">
        <w:r>
          <w:rPr>
            <w:rStyle w:val="Hyperlink"/>
            <w:rFonts w:ascii="URWPalladioL" w:hAnsi="URWPalladioL" w:eastAsia="URWPalladioL" w:cs="URWPalladioL"/>
            <w:sz w:val="15.940199851989746"/>
            <w:color w:val="0875B7"/>
            <w:spacing w:val="-10"/>
          </w:rPr>
          <w:t>https://doi.org/10.3390/electronics15173951</w:t>
        </w:r>
      </w:hyperlink>
    </w:p>
    <w:sectPr w:rsidR="00FC693F" w:rsidRPr="0006063C" w:rsidSect="00034616">
      <w:pgSz w:w="11906" w:h="16838"/>
      <w:pgMar w:top="240" w:right="240" w:bottom="56" w:left="24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reativecommons.org/licenses/by/4.0/" TargetMode="External"/><Relationship Id="rId10" Type="http://schemas.openxmlformats.org/officeDocument/2006/relationships/hyperlink" Target="https://doi.org/10.3390/electronics15173951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image" Target="media/image46.png"/><Relationship Id="rId57" Type="http://schemas.openxmlformats.org/officeDocument/2006/relationships/image" Target="media/image47.png"/><Relationship Id="rId58" Type="http://schemas.openxmlformats.org/officeDocument/2006/relationships/image" Target="media/image48.png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hyperlink" Target="#nameddest=cite.B1-electronics-4440299" TargetMode="External"/><Relationship Id="rId65" Type="http://schemas.openxmlformats.org/officeDocument/2006/relationships/hyperlink" Target="#nameddest=cite.B2-electronics-4440299" TargetMode="External"/><Relationship Id="rId66" Type="http://schemas.openxmlformats.org/officeDocument/2006/relationships/hyperlink" Target="#nameddest=cite.B3-electronics-4440299" TargetMode="External"/><Relationship Id="rId67" Type="http://schemas.openxmlformats.org/officeDocument/2006/relationships/hyperlink" Target="#nameddest=cite.B4-electronics-4440299" TargetMode="External"/><Relationship Id="rId68" Type="http://schemas.openxmlformats.org/officeDocument/2006/relationships/hyperlink" Target="#nameddest=cite.B5-electronics-4440299" TargetMode="External"/><Relationship Id="rId69" Type="http://schemas.openxmlformats.org/officeDocument/2006/relationships/hyperlink" Target="#nameddest=cite.B6-electronics-4440299" TargetMode="External"/><Relationship Id="rId70" Type="http://schemas.openxmlformats.org/officeDocument/2006/relationships/hyperlink" Target="#nameddest=cite.B9-electronics-4440299" TargetMode="External"/><Relationship Id="rId71" Type="http://schemas.openxmlformats.org/officeDocument/2006/relationships/hyperlink" Target="#nameddest=cite.B7-electronics-4440299" TargetMode="External"/><Relationship Id="rId72" Type="http://schemas.openxmlformats.org/officeDocument/2006/relationships/hyperlink" Target="#nameddest=cite.B10-electronics-4440299" TargetMode="External"/><Relationship Id="rId73" Type="http://schemas.openxmlformats.org/officeDocument/2006/relationships/hyperlink" Target="#nameddest=cite.B12-electronics-4440299" TargetMode="External"/><Relationship Id="rId74" Type="http://schemas.openxmlformats.org/officeDocument/2006/relationships/hyperlink" Target="#nameddest=cite.B13-electronics-4440299" TargetMode="External"/><Relationship Id="rId75" Type="http://schemas.openxmlformats.org/officeDocument/2006/relationships/image" Target="media/image54.png"/><Relationship Id="rId76" Type="http://schemas.openxmlformats.org/officeDocument/2006/relationships/hyperlink" Target="#nameddest=figure.caption.1" TargetMode="External"/><Relationship Id="rId77" Type="http://schemas.openxmlformats.org/officeDocument/2006/relationships/image" Target="media/image55.png"/><Relationship Id="rId78" Type="http://schemas.openxmlformats.org/officeDocument/2006/relationships/hyperlink" Target="#nameddest=figure.caption.3" TargetMode="External"/><Relationship Id="rId79" Type="http://schemas.openxmlformats.org/officeDocument/2006/relationships/image" Target="media/image56.png"/><Relationship Id="rId80" Type="http://schemas.openxmlformats.org/officeDocument/2006/relationships/hyperlink" Target="#nameddest=subsection.2.1" TargetMode="External"/><Relationship Id="rId81" Type="http://schemas.openxmlformats.org/officeDocument/2006/relationships/image" Target="media/image57.png"/><Relationship Id="rId82" Type="http://schemas.openxmlformats.org/officeDocument/2006/relationships/image" Target="media/image58.png"/><Relationship Id="rId83" Type="http://schemas.openxmlformats.org/officeDocument/2006/relationships/image" Target="media/image59.png"/><Relationship Id="rId84" Type="http://schemas.openxmlformats.org/officeDocument/2006/relationships/image" Target="media/image60.png"/><Relationship Id="rId85" Type="http://schemas.openxmlformats.org/officeDocument/2006/relationships/hyperlink" Target="#nameddest=subsection.2.3" TargetMode="External"/><Relationship Id="rId86" Type="http://schemas.openxmlformats.org/officeDocument/2006/relationships/image" Target="media/image61.png"/><Relationship Id="rId87" Type="http://schemas.openxmlformats.org/officeDocument/2006/relationships/hyperlink" Target="#nameddest=subsection.2.5" TargetMode="External"/><Relationship Id="rId88" Type="http://schemas.openxmlformats.org/officeDocument/2006/relationships/hyperlink" Target="#nameddest=table.caption.12" TargetMode="External"/><Relationship Id="rId89" Type="http://schemas.openxmlformats.org/officeDocument/2006/relationships/hyperlink" Target="#nameddest=table.caption.13" TargetMode="External"/><Relationship Id="rId90" Type="http://schemas.openxmlformats.org/officeDocument/2006/relationships/image" Target="media/image62.png"/><Relationship Id="rId91" Type="http://schemas.openxmlformats.org/officeDocument/2006/relationships/image" Target="media/image63.png"/><Relationship Id="rId92" Type="http://schemas.openxmlformats.org/officeDocument/2006/relationships/image" Target="media/image64.png"/><Relationship Id="rId93" Type="http://schemas.openxmlformats.org/officeDocument/2006/relationships/image" Target="media/image65.png"/><Relationship Id="rId94" Type="http://schemas.openxmlformats.org/officeDocument/2006/relationships/image" Target="media/image66.png"/><Relationship Id="rId95" Type="http://schemas.openxmlformats.org/officeDocument/2006/relationships/hyperlink" Target="#nameddest=subsection.3.1" TargetMode="External"/><Relationship Id="rId96" Type="http://schemas.openxmlformats.org/officeDocument/2006/relationships/hyperlink" Target="#nameddest=table.caption.14" TargetMode="External"/><Relationship Id="rId97" Type="http://schemas.openxmlformats.org/officeDocument/2006/relationships/hyperlink" Target="#nameddest=figure.caption.15" TargetMode="External"/><Relationship Id="rId98" Type="http://schemas.openxmlformats.org/officeDocument/2006/relationships/hyperlink" Target="#nameddest=table.caption.16" TargetMode="External"/><Relationship Id="rId99" Type="http://schemas.openxmlformats.org/officeDocument/2006/relationships/image" Target="media/image67.png"/><Relationship Id="rId100" Type="http://schemas.openxmlformats.org/officeDocument/2006/relationships/image" Target="media/image68.png"/><Relationship Id="rId101" Type="http://schemas.openxmlformats.org/officeDocument/2006/relationships/hyperlink" Target="#nameddest=table.caption.17" TargetMode="External"/><Relationship Id="rId102" Type="http://schemas.openxmlformats.org/officeDocument/2006/relationships/hyperlink" Target="#nameddest=cite.B8-electronics-4440299" TargetMode="External"/><Relationship Id="rId103" Type="http://schemas.openxmlformats.org/officeDocument/2006/relationships/hyperlink" Target="#nameddest=cite.B11-electronics-4440299" TargetMode="External"/><Relationship Id="rId104" Type="http://schemas.openxmlformats.org/officeDocument/2006/relationships/hyperlink" Target="https://doi.org/10.1001/jama.2017.13836" TargetMode="External"/><Relationship Id="rId105" Type="http://schemas.openxmlformats.org/officeDocument/2006/relationships/hyperlink" Target="https://www.ncbi.nlm.nih.gov/pubmed/28903154" TargetMode="External"/><Relationship Id="rId106" Type="http://schemas.openxmlformats.org/officeDocument/2006/relationships/hyperlink" Target="https://doi.org/10.1001/jama.2016.0287" TargetMode="External"/><Relationship Id="rId107" Type="http://schemas.openxmlformats.org/officeDocument/2006/relationships/hyperlink" Target="https://www.ncbi.nlm.nih.gov/pubmed/26903338" TargetMode="External"/><Relationship Id="rId108" Type="http://schemas.openxmlformats.org/officeDocument/2006/relationships/hyperlink" Target="https://doi.org/10.1126/scitranslmed.aab3719" TargetMode="External"/><Relationship Id="rId109" Type="http://schemas.openxmlformats.org/officeDocument/2006/relationships/hyperlink" Target="https://www.ncbi.nlm.nih.gov/pubmed/26246167" TargetMode="External"/><Relationship Id="rId110" Type="http://schemas.openxmlformats.org/officeDocument/2006/relationships/hyperlink" Target="https://doi.org/10.1016/j.bbr.2025.116007" TargetMode="External"/><Relationship Id="rId111" Type="http://schemas.openxmlformats.org/officeDocument/2006/relationships/hyperlink" Target="https://www.ncbi.nlm.nih.gov/pubmed/41448497" TargetMode="External"/><Relationship Id="rId112" Type="http://schemas.openxmlformats.org/officeDocument/2006/relationships/hyperlink" Target="https://doi.org/10.1038/s41591-020-0789-4" TargetMode="External"/><Relationship Id="rId113" Type="http://schemas.openxmlformats.org/officeDocument/2006/relationships/hyperlink" Target="https://www.ncbi.nlm.nih.gov/pubmed/32152583" TargetMode="External"/><Relationship Id="rId114" Type="http://schemas.openxmlformats.org/officeDocument/2006/relationships/hyperlink" Target="https://www.ncbi.nlm.nih.gov/pubmed/29286945" TargetMode="External"/><Relationship Id="rId115" Type="http://schemas.openxmlformats.org/officeDocument/2006/relationships/hyperlink" Target="https://doi.org/10.1109/jbhi.2017.2767063" TargetMode="External"/><Relationship Id="rId116" Type="http://schemas.openxmlformats.org/officeDocument/2006/relationships/hyperlink" Target="https://www.ncbi.nlm.nih.gov/pubmed/29989977" TargetMode="External"/><Relationship Id="rId117" Type="http://schemas.openxmlformats.org/officeDocument/2006/relationships/hyperlink" Target="https://doi.org/10.1038/s41598-018-24271-9" TargetMode="External"/><Relationship Id="rId118" Type="http://schemas.openxmlformats.org/officeDocument/2006/relationships/hyperlink" Target="https://www.ncbi.nlm.nih.gov/pubmed/29666385" TargetMode="External"/><Relationship Id="rId119" Type="http://schemas.openxmlformats.org/officeDocument/2006/relationships/hyperlink" Target="https://doi.org/10.1038/s41591-019-0548-6" TargetMode="External"/><Relationship Id="rId120" Type="http://schemas.openxmlformats.org/officeDocument/2006/relationships/hyperlink" Target="https://www.ncbi.nlm.nih.gov/pubmed/31427808" TargetMode="External"/><Relationship Id="rId121" Type="http://schemas.openxmlformats.org/officeDocument/2006/relationships/hyperlink" Target="https://doi.org/10.1056/nejmra1814259" TargetMode="External"/><Relationship Id="rId122" Type="http://schemas.openxmlformats.org/officeDocument/2006/relationships/hyperlink" Target="https://www.ncbi.nlm.nih.gov/pubmed/30943338" TargetMode="External"/><Relationship Id="rId123" Type="http://schemas.openxmlformats.org/officeDocument/2006/relationships/hyperlink" Target="https://doi.org/10.1109/jproc.2021.3058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